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20" w:lineRule="exact"/>
        <w:jc w:val="center"/>
        <w:textAlignment w:val="auto"/>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广州市番禺区第十八届人民代表大会</w:t>
      </w:r>
    </w:p>
    <w:p>
      <w:pPr>
        <w:keepNext w:val="0"/>
        <w:keepLines w:val="0"/>
        <w:pageBreakBefore w:val="0"/>
        <w:kinsoku/>
        <w:wordWrap/>
        <w:overflowPunct/>
        <w:topLinePunct w:val="0"/>
        <w:autoSpaceDE/>
        <w:autoSpaceDN/>
        <w:bidi w:val="0"/>
        <w:spacing w:line="520" w:lineRule="exact"/>
        <w:jc w:val="center"/>
        <w:textAlignment w:val="auto"/>
        <w:rPr>
          <w:rFonts w:hint="eastAsia" w:asciiTheme="minorEastAsia" w:hAnsiTheme="minorEastAsia" w:eastAsiaTheme="minorEastAsia"/>
          <w:b/>
          <w:sz w:val="44"/>
          <w:szCs w:val="44"/>
        </w:rPr>
      </w:pPr>
      <w:r>
        <w:rPr>
          <w:rFonts w:hint="eastAsia" w:asciiTheme="minorEastAsia" w:hAnsiTheme="minorEastAsia" w:eastAsiaTheme="minorEastAsia"/>
          <w:b/>
          <w:sz w:val="44"/>
          <w:szCs w:val="44"/>
        </w:rPr>
        <w:t>代表建议、批评和意见</w:t>
      </w:r>
    </w:p>
    <w:p>
      <w:pPr>
        <w:keepNext w:val="0"/>
        <w:keepLines w:val="0"/>
        <w:pageBreakBefore w:val="0"/>
        <w:kinsoku/>
        <w:wordWrap/>
        <w:overflowPunct/>
        <w:topLinePunct w:val="0"/>
        <w:autoSpaceDE/>
        <w:autoSpaceDN/>
        <w:bidi w:val="0"/>
        <w:adjustRightInd/>
        <w:snapToGrid/>
        <w:spacing w:after="0" w:line="520" w:lineRule="exact"/>
        <w:textAlignment w:val="auto"/>
        <w:rPr>
          <w:rFonts w:hint="eastAsia" w:ascii="仿宋_GB2312" w:hAnsi="Calibri" w:eastAsia="仿宋_GB2312" w:cs="Times New Roman"/>
          <w:kern w:val="2"/>
          <w:sz w:val="30"/>
          <w:szCs w:val="30"/>
        </w:rPr>
      </w:pPr>
      <w:r>
        <w:rPr>
          <w:rFonts w:hint="eastAsia" w:ascii="仿宋_GB2312" w:hAnsi="Calibri" w:eastAsia="仿宋_GB2312" w:cs="Times New Roman"/>
          <w:kern w:val="2"/>
          <w:sz w:val="30"/>
          <w:szCs w:val="30"/>
        </w:rPr>
        <w:t>第</w:t>
      </w:r>
      <w:r>
        <w:rPr>
          <w:rFonts w:hint="eastAsia" w:ascii="仿宋_GB2312" w:hAnsi="Calibri" w:eastAsia="仿宋_GB2312" w:cs="Times New Roman"/>
          <w:kern w:val="2"/>
          <w:sz w:val="30"/>
          <w:szCs w:val="30"/>
          <w:lang w:eastAsia="zh-CN"/>
        </w:rPr>
        <w:t>二</w:t>
      </w:r>
      <w:r>
        <w:rPr>
          <w:rFonts w:hint="eastAsia" w:ascii="仿宋_GB2312" w:hAnsi="Calibri" w:eastAsia="仿宋_GB2312" w:cs="Times New Roman"/>
          <w:kern w:val="2"/>
          <w:sz w:val="30"/>
          <w:szCs w:val="30"/>
        </w:rPr>
        <w:t xml:space="preserve">次会议                                 </w:t>
      </w:r>
      <w:r>
        <w:rPr>
          <w:rFonts w:hint="eastAsia" w:ascii="仿宋_GB2312" w:hAnsi="Calibri" w:eastAsia="仿宋_GB2312" w:cs="Times New Roman"/>
          <w:kern w:val="2"/>
          <w:sz w:val="30"/>
          <w:szCs w:val="30"/>
          <w:lang w:val="en-US" w:eastAsia="zh-CN"/>
        </w:rPr>
        <w:t xml:space="preserve">    </w:t>
      </w:r>
      <w:r>
        <w:rPr>
          <w:rFonts w:hint="eastAsia" w:ascii="仿宋_GB2312" w:hAnsi="Calibri" w:eastAsia="仿宋_GB2312" w:cs="Times New Roman"/>
          <w:kern w:val="2"/>
          <w:sz w:val="30"/>
          <w:szCs w:val="30"/>
        </w:rPr>
        <w:t>第</w:t>
      </w:r>
      <w:r>
        <w:rPr>
          <w:rFonts w:hint="eastAsia" w:ascii="仿宋_GB2312" w:hAnsi="Calibri" w:eastAsia="仿宋_GB2312" w:cs="Times New Roman"/>
          <w:kern w:val="2"/>
          <w:sz w:val="30"/>
          <w:szCs w:val="30"/>
          <w:lang w:val="en-US" w:eastAsia="zh-CN"/>
        </w:rPr>
        <w:t>42</w:t>
      </w:r>
      <w:r>
        <w:rPr>
          <w:rFonts w:hint="eastAsia" w:ascii="仿宋_GB2312" w:hAnsi="Calibri" w:eastAsia="仿宋_GB2312" w:cs="Times New Roman"/>
          <w:kern w:val="2"/>
          <w:sz w:val="30"/>
          <w:szCs w:val="30"/>
        </w:rPr>
        <w:t>号</w:t>
      </w:r>
    </w:p>
    <w:tbl>
      <w:tblPr>
        <w:tblStyle w:val="8"/>
        <w:tblW w:w="9336" w:type="dxa"/>
        <w:jc w:val="center"/>
        <w:tblLayout w:type="fixed"/>
        <w:tblCellMar>
          <w:top w:w="0" w:type="dxa"/>
          <w:left w:w="108" w:type="dxa"/>
          <w:bottom w:w="0" w:type="dxa"/>
          <w:right w:w="108" w:type="dxa"/>
        </w:tblCellMar>
      </w:tblPr>
      <w:tblGrid>
        <w:gridCol w:w="1439"/>
        <w:gridCol w:w="1915"/>
        <w:gridCol w:w="1127"/>
        <w:gridCol w:w="1503"/>
        <w:gridCol w:w="1444"/>
        <w:gridCol w:w="1890"/>
        <w:gridCol w:w="18"/>
      </w:tblGrid>
      <w:tr>
        <w:tblPrEx>
          <w:tblCellMar>
            <w:top w:w="0" w:type="dxa"/>
            <w:left w:w="108" w:type="dxa"/>
            <w:bottom w:w="0" w:type="dxa"/>
            <w:right w:w="108" w:type="dxa"/>
          </w:tblCellMar>
        </w:tblPrEx>
        <w:trPr>
          <w:gridAfter w:val="1"/>
          <w:wAfter w:w="18"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王兆玉</w:t>
            </w:r>
          </w:p>
        </w:tc>
        <w:tc>
          <w:tcPr>
            <w:tcW w:w="1127"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所  在</w:t>
            </w:r>
          </w:p>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小谷围街</w:t>
            </w: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邮政编码</w:t>
            </w:r>
          </w:p>
        </w:tc>
        <w:tc>
          <w:tcPr>
            <w:tcW w:w="1890"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510006</w:t>
            </w:r>
          </w:p>
        </w:tc>
      </w:tr>
      <w:tr>
        <w:tblPrEx>
          <w:tblCellMar>
            <w:top w:w="0" w:type="dxa"/>
            <w:left w:w="108" w:type="dxa"/>
            <w:bottom w:w="0" w:type="dxa"/>
            <w:right w:w="108" w:type="dxa"/>
          </w:tblCellMar>
        </w:tblPrEx>
        <w:trPr>
          <w:gridAfter w:val="1"/>
          <w:wAfter w:w="18"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详    细</w:t>
            </w:r>
          </w:p>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电  话</w:t>
            </w:r>
          </w:p>
        </w:tc>
        <w:tc>
          <w:tcPr>
            <w:tcW w:w="1890"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r>
      <w:tr>
        <w:tblPrEx>
          <w:tblCellMar>
            <w:top w:w="0" w:type="dxa"/>
            <w:left w:w="108" w:type="dxa"/>
            <w:bottom w:w="0" w:type="dxa"/>
            <w:right w:w="108" w:type="dxa"/>
          </w:tblCellMar>
        </w:tblPrEx>
        <w:trPr>
          <w:gridAfter w:val="1"/>
          <w:wAfter w:w="18"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r>
              <w:rPr>
                <w:rFonts w:hint="eastAsia" w:ascii="仿宋_GB2312" w:eastAsia="仿宋_GB2312"/>
                <w:sz w:val="30"/>
                <w:szCs w:val="30"/>
              </w:rPr>
              <w:t>手  机</w:t>
            </w:r>
          </w:p>
        </w:tc>
        <w:tc>
          <w:tcPr>
            <w:tcW w:w="1890" w:type="dxa"/>
            <w:tcBorders>
              <w:top w:val="single" w:color="339966" w:sz="4" w:space="0"/>
              <w:left w:val="single" w:color="339966" w:sz="4" w:space="0"/>
              <w:bottom w:val="single" w:color="339966" w:sz="4" w:space="0"/>
            </w:tcBorders>
            <w:vAlign w:val="center"/>
          </w:tcPr>
          <w:p>
            <w:pPr>
              <w:keepNext w:val="0"/>
              <w:keepLines w:val="0"/>
              <w:pageBreakBefore w:val="0"/>
              <w:kinsoku/>
              <w:wordWrap/>
              <w:overflowPunct/>
              <w:topLinePunct w:val="0"/>
              <w:autoSpaceDE/>
              <w:autoSpaceDN/>
              <w:bidi w:val="0"/>
              <w:adjustRightInd/>
              <w:snapToGrid/>
              <w:spacing w:after="0" w:line="520" w:lineRule="exact"/>
              <w:jc w:val="center"/>
              <w:textAlignment w:val="auto"/>
              <w:rPr>
                <w:rFonts w:hint="eastAsia" w:ascii="仿宋_GB2312" w:eastAsia="仿宋_GB2312"/>
                <w:sz w:val="30"/>
                <w:szCs w:val="30"/>
              </w:rPr>
            </w:pPr>
          </w:p>
        </w:tc>
      </w:tr>
      <w:tr>
        <w:tblPrEx>
          <w:tblCellMar>
            <w:top w:w="0" w:type="dxa"/>
            <w:left w:w="108" w:type="dxa"/>
            <w:bottom w:w="0" w:type="dxa"/>
            <w:right w:w="108" w:type="dxa"/>
          </w:tblCellMar>
        </w:tblPrEx>
        <w:trPr>
          <w:gridAfter w:val="1"/>
          <w:wAfter w:w="18" w:type="dxa"/>
          <w:trHeight w:val="1265" w:hRule="exact"/>
          <w:jc w:val="center"/>
        </w:trPr>
        <w:tc>
          <w:tcPr>
            <w:tcW w:w="9318" w:type="dxa"/>
            <w:gridSpan w:val="6"/>
            <w:tcBorders>
              <w:top w:val="single" w:color="339966" w:sz="4" w:space="0"/>
            </w:tcBorders>
            <w:vAlign w:val="center"/>
          </w:tcPr>
          <w:p>
            <w:pPr>
              <w:pStyle w:val="7"/>
              <w:keepNext w:val="0"/>
              <w:keepLines w:val="0"/>
              <w:pageBreakBefore w:val="0"/>
              <w:kinsoku/>
              <w:wordWrap/>
              <w:overflowPunct/>
              <w:topLinePunct w:val="0"/>
              <w:autoSpaceDE/>
              <w:autoSpaceDN/>
              <w:bidi w:val="0"/>
              <w:spacing w:line="520" w:lineRule="exact"/>
              <w:ind w:left="900" w:hanging="900" w:hangingChars="300"/>
              <w:jc w:val="left"/>
              <w:textAlignment w:val="auto"/>
              <w:rPr>
                <w:rFonts w:hint="eastAsia" w:ascii="仿宋_GB2312" w:eastAsia="仿宋_GB2312"/>
                <w:sz w:val="30"/>
                <w:szCs w:val="30"/>
              </w:rPr>
            </w:pPr>
            <w:r>
              <w:rPr>
                <w:rFonts w:hint="eastAsia" w:ascii="仿宋_GB2312" w:hAnsi="Cambria" w:eastAsia="仿宋_GB2312" w:cs="Times New Roman"/>
                <w:b w:val="0"/>
                <w:bCs w:val="0"/>
                <w:kern w:val="2"/>
                <w:sz w:val="30"/>
                <w:szCs w:val="30"/>
                <w:lang w:val="en-US" w:eastAsia="zh-CN" w:bidi="ar-SA"/>
              </w:rPr>
              <w:t>题目：</w:t>
            </w:r>
            <w:r>
              <w:rPr>
                <w:rFonts w:hint="eastAsia" w:ascii="方正小标宋简体" w:hAnsi="方正小标宋简体" w:eastAsia="方正小标宋简体" w:cs="方正小标宋简体"/>
                <w:b w:val="0"/>
                <w:bCs w:val="0"/>
                <w:sz w:val="32"/>
                <w:szCs w:val="32"/>
              </w:rPr>
              <w:t>关于响应“广聚英才计划”解决广州大学城高校教师就近居住和子女就近入学问题的建议</w:t>
            </w:r>
          </w:p>
        </w:tc>
      </w:tr>
      <w:tr>
        <w:tblPrEx>
          <w:tblCellMar>
            <w:top w:w="0" w:type="dxa"/>
            <w:left w:w="108" w:type="dxa"/>
            <w:bottom w:w="0" w:type="dxa"/>
            <w:right w:w="108" w:type="dxa"/>
          </w:tblCellMar>
        </w:tblPrEx>
        <w:trPr>
          <w:trHeight w:val="923" w:hRule="atLeast"/>
          <w:jc w:val="center"/>
        </w:trPr>
        <w:tc>
          <w:tcPr>
            <w:tcW w:w="9336" w:type="dxa"/>
            <w:gridSpan w:val="7"/>
          </w:tcPr>
          <w:p>
            <w:pPr>
              <w:keepNext w:val="0"/>
              <w:keepLines w:val="0"/>
              <w:pageBreakBefore w:val="0"/>
              <w:pBdr>
                <w:bottom w:val="single" w:color="339966" w:sz="4" w:space="1"/>
              </w:pBdr>
              <w:kinsoku/>
              <w:wordWrap/>
              <w:overflowPunct/>
              <w:topLinePunct w:val="0"/>
              <w:autoSpaceDE/>
              <w:autoSpaceDN/>
              <w:bidi w:val="0"/>
              <w:spacing w:line="520" w:lineRule="exact"/>
              <w:textAlignment w:val="auto"/>
              <w:rPr>
                <w:rFonts w:hint="eastAsia"/>
                <w:sz w:val="24"/>
                <w:szCs w:val="24"/>
              </w:rPr>
            </w:pPr>
          </w:p>
        </w:tc>
      </w:tr>
      <w:tr>
        <w:tblPrEx>
          <w:tblCellMar>
            <w:top w:w="0" w:type="dxa"/>
            <w:left w:w="108" w:type="dxa"/>
            <w:bottom w:w="0" w:type="dxa"/>
            <w:right w:w="108" w:type="dxa"/>
          </w:tblCellMar>
        </w:tblPrEx>
        <w:trPr>
          <w:trHeight w:val="1055"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请代表选中并打“√”注明</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1、此建议是否公开</w:t>
            </w:r>
          </w:p>
        </w:tc>
      </w:tr>
      <w:tr>
        <w:tblPrEx>
          <w:tblCellMar>
            <w:top w:w="0" w:type="dxa"/>
            <w:left w:w="108" w:type="dxa"/>
            <w:bottom w:w="0" w:type="dxa"/>
            <w:right w:w="108" w:type="dxa"/>
          </w:tblCellMar>
        </w:tblPrEx>
        <w:trPr>
          <w:trHeight w:val="612"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14" o:spid="_x0000_s1026" o:spt="1" style="position:absolute;left:0pt;margin-left:10.8pt;margin-top:8.65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19" o:spid="_x0000_s1027" o:spt="1" style="position:absolute;left:0pt;margin-left:89.55pt;margin-top:8.5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   公开                   不公开（不公开请填写理由） </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0" o:spid="_x0000_s1036" o:spt="1" style="position:absolute;left:0pt;margin-left:89.55pt;margin-top:9.2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不公开理由：             涉及国家秘密、商业秘密和个人隐私；</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1" o:spid="_x0000_s1037" o:spt="1" style="position:absolute;left:0pt;margin-left:89.85pt;margin-top:10.1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公开可能危害国家安全公共安全、经济利益和社会稳定； </w:t>
            </w:r>
          </w:p>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2" o:spid="_x0000_s1038" o:spt="1" style="position:absolute;left:0pt;margin-left:89.85pt;margin-top:8.9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其他原因（请填写）：                               </w:t>
            </w:r>
          </w:p>
        </w:tc>
      </w:tr>
      <w:tr>
        <w:tblPrEx>
          <w:tblCellMar>
            <w:top w:w="0" w:type="dxa"/>
            <w:left w:w="108" w:type="dxa"/>
            <w:bottom w:w="0" w:type="dxa"/>
            <w:right w:w="108" w:type="dxa"/>
          </w:tblCellMar>
        </w:tblPrEx>
        <w:trPr>
          <w:trHeight w:val="547"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2、此建议来源</w:t>
            </w:r>
          </w:p>
        </w:tc>
      </w:tr>
      <w:tr>
        <w:tblPrEx>
          <w:tblCellMar>
            <w:top w:w="0" w:type="dxa"/>
            <w:left w:w="108" w:type="dxa"/>
            <w:bottom w:w="0" w:type="dxa"/>
            <w:right w:w="108" w:type="dxa"/>
          </w:tblCellMar>
        </w:tblPrEx>
        <w:trPr>
          <w:trHeight w:val="676"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ind w:firstLine="360" w:firstLineChars="150"/>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4" o:spid="_x0000_s1030" o:spt="1" style="position:absolute;left:0pt;margin-left:183.4pt;margin-top:9.3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3" o:spid="_x0000_s1029" o:spt="1" style="position:absolute;left:0pt;margin-left:88.8pt;margin-top:9.5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5" o:spid="_x0000_s1028" o:spt="1" style="position:absolute;left:0pt;margin-left:7.9pt;margin-top:9.15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视察             √  专题调研                 其他方式（请填写）               </w:t>
            </w:r>
          </w:p>
        </w:tc>
      </w:tr>
      <w:tr>
        <w:tblPrEx>
          <w:tblCellMar>
            <w:top w:w="0" w:type="dxa"/>
            <w:left w:w="108" w:type="dxa"/>
            <w:bottom w:w="0" w:type="dxa"/>
            <w:right w:w="108" w:type="dxa"/>
          </w:tblCellMar>
        </w:tblPrEx>
        <w:trPr>
          <w:trHeight w:val="528"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6" o:spid="_x0000_s1032" o:spt="1" style="position:absolute;left:0pt;margin-left:88.75pt;margin-top:9.5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7" o:spid="_x0000_s1033" o:spt="1" style="position:absolute;left:0pt;margin-left:190.55pt;margin-top:8.15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28" o:spid="_x0000_s1031" o:spt="1" style="position:absolute;left:0pt;margin-left:8.55pt;margin-top:7.15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hint="eastAsia" w:ascii="Calibri" w:hAnsi="Calibri" w:eastAsia="宋体" w:cs="Times New Roman"/>
                <w:kern w:val="2"/>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6" w:type="dxa"/>
            <w:gridSpan w:val="7"/>
          </w:tcPr>
          <w:p>
            <w:pPr>
              <w:keepNext w:val="0"/>
              <w:keepLines w:val="0"/>
              <w:pageBreakBefore w:val="0"/>
              <w:widowControl w:val="0"/>
              <w:kinsoku/>
              <w:wordWrap/>
              <w:overflowPunct/>
              <w:topLinePunct w:val="0"/>
              <w:autoSpaceDE/>
              <w:autoSpaceDN/>
              <w:bidi w:val="0"/>
              <w:adjustRightInd/>
              <w:snapToGrid/>
              <w:spacing w:after="0" w:line="520" w:lineRule="exact"/>
              <w:jc w:val="both"/>
              <w:textAlignment w:val="auto"/>
              <w:rPr>
                <w:rFonts w:hint="eastAsia" w:ascii="Calibri" w:hAnsi="Calibri" w:eastAsia="宋体" w:cs="Times New Roman"/>
                <w:kern w:val="2"/>
                <w:sz w:val="24"/>
                <w:szCs w:val="24"/>
              </w:rPr>
            </w:pPr>
            <w:r>
              <w:rPr>
                <w:rFonts w:ascii="Calibri" w:hAnsi="Calibri" w:eastAsia="宋体" w:cs="Times New Roman"/>
                <w:kern w:val="2"/>
                <w:sz w:val="24"/>
                <w:szCs w:val="24"/>
              </w:rPr>
              <w:pict>
                <v:rect id="矩形 29" o:spid="_x0000_s1034" o:spt="1" style="position:absolute;left:0pt;margin-left:9.3pt;margin-top:7.7pt;height:16.5pt;width:15.75pt;z-index:251659264;mso-width-relative:page;mso-height-relative:page;" filled="f" stroked="t" coordsize="21600,21600">
                  <v:path/>
                  <v:fill on="f" focussize="0,0"/>
                  <v:stroke weight="1.25pt" color="#339966"/>
                  <v:imagedata o:title=""/>
                  <o:lock v:ext="edit"/>
                </v:rect>
              </w:pict>
            </w:r>
            <w:r>
              <w:rPr>
                <w:rFonts w:ascii="Calibri" w:hAnsi="Calibri" w:eastAsia="宋体" w:cs="Times New Roman"/>
                <w:kern w:val="2"/>
                <w:sz w:val="24"/>
                <w:szCs w:val="24"/>
              </w:rPr>
              <w:pict>
                <v:rect id="矩形 30" o:spid="_x0000_s1035" o:spt="1" style="position:absolute;left:0pt;margin-left:89.55pt;margin-top:7.1pt;height:16.5pt;width:15.75pt;z-index:251659264;mso-width-relative:page;mso-height-relative:page;" filled="f" stroked="t" coordsize="21600,21600">
                  <v:path/>
                  <v:fill on="f" focussize="0,0"/>
                  <v:stroke weight="1.25pt" color="#339966"/>
                  <v:imagedata o:title=""/>
                  <o:lock v:ext="edit"/>
                </v:rect>
              </w:pict>
            </w:r>
            <w:r>
              <w:rPr>
                <w:rFonts w:hint="eastAsia" w:ascii="Calibri" w:hAnsi="Calibri" w:eastAsia="宋体" w:cs="Times New Roman"/>
                <w:kern w:val="2"/>
                <w:sz w:val="24"/>
                <w:szCs w:val="24"/>
              </w:rPr>
              <w:t xml:space="preserve">    √  是                          否</w:t>
            </w:r>
          </w:p>
        </w:tc>
      </w:tr>
    </w:tbl>
    <w:p>
      <w:pPr>
        <w:pStyle w:val="14"/>
        <w:keepNext w:val="0"/>
        <w:keepLines w:val="0"/>
        <w:pageBreakBefore w:val="0"/>
        <w:pBdr>
          <w:top w:val="single" w:color="auto" w:sz="6" w:space="0"/>
        </w:pBdr>
        <w:kinsoku/>
        <w:wordWrap/>
        <w:overflowPunct/>
        <w:topLinePunct w:val="0"/>
        <w:autoSpaceDE/>
        <w:autoSpaceDN/>
        <w:bidi w:val="0"/>
        <w:spacing w:line="520" w:lineRule="exact"/>
        <w:jc w:val="both"/>
        <w:textAlignment w:val="auto"/>
        <w:rPr>
          <w:rFonts w:hint="eastAsia"/>
          <w:b/>
          <w:bCs/>
          <w:vanish w:val="0"/>
          <w:spacing w:val="12"/>
          <w:sz w:val="18"/>
          <w:szCs w:val="18"/>
        </w:rPr>
      </w:pPr>
      <w:r>
        <w:rPr>
          <w:rFonts w:hint="eastAsia"/>
          <w:b/>
          <w:bCs/>
          <w:vanish w:val="0"/>
          <w:spacing w:val="12"/>
          <w:sz w:val="18"/>
          <w:szCs w:val="18"/>
        </w:rPr>
        <w:t>注：提交书面建议时请附上电子文本。</w:t>
      </w:r>
    </w:p>
    <w:p>
      <w:pPr>
        <w:keepNext w:val="0"/>
        <w:keepLines w:val="0"/>
        <w:pageBreakBefore w:val="0"/>
        <w:widowControl w:val="0"/>
        <w:kinsoku/>
        <w:wordWrap/>
        <w:overflowPunct/>
        <w:topLinePunct w:val="0"/>
        <w:autoSpaceDE/>
        <w:autoSpaceDN/>
        <w:bidi w:val="0"/>
        <w:adjustRightInd/>
        <w:snapToGrid/>
        <w:spacing w:after="0" w:line="560" w:lineRule="exact"/>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内容:</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rPr>
      </w:pPr>
      <w:r>
        <w:rPr>
          <w:rFonts w:hint="eastAsia" w:ascii="黑体" w:hAnsi="黑体" w:eastAsia="黑体" w:cs="黑体"/>
          <w:b w:val="0"/>
          <w:bCs w:val="0"/>
          <w:color w:val="auto"/>
          <w:kern w:val="2"/>
          <w:sz w:val="32"/>
          <w:szCs w:val="32"/>
          <w:u w:val="none"/>
          <w:lang w:val="en-US" w:eastAsia="zh-CN"/>
        </w:rPr>
        <w:t>一、现状</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kern w:val="2"/>
          <w:sz w:val="32"/>
          <w:szCs w:val="32"/>
          <w:u w:val="none"/>
          <w:lang w:val="en-US" w:eastAsia="zh-CN"/>
        </w:rPr>
        <w:t>区域经济的高水平快速发展，产业更新升级，离不开全方位营造人才培养、人才引进和发挥人才效益的优良环境。广州大学</w:t>
      </w:r>
      <w:r>
        <w:rPr>
          <w:rFonts w:hint="eastAsia" w:ascii="仿宋_GB2312" w:hAnsi="仿宋_GB2312" w:eastAsia="仿宋_GB2312" w:cs="仿宋_GB2312"/>
          <w:sz w:val="32"/>
          <w:szCs w:val="32"/>
        </w:rPr>
        <w:t>城汇聚了12所部属、省属、省市共管等不同类型的高校，是大型人才培养基地，也是人才引进、人才创新的重要区域。</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sz w:val="32"/>
          <w:szCs w:val="32"/>
        </w:rPr>
        <w:t>据调研，由于缺乏相关保障性政策，大学城在岗高校教师包括就近居住、幼儿园和义务教育阶段子女就近入学等在内的人才</w:t>
      </w:r>
      <w:bookmarkStart w:id="0" w:name="_GoBack"/>
      <w:bookmarkEnd w:id="0"/>
      <w:r>
        <w:rPr>
          <w:rFonts w:hint="eastAsia" w:ascii="仿宋_GB2312" w:hAnsi="仿宋_GB2312" w:eastAsia="仿宋_GB2312" w:cs="仿宋_GB2312"/>
          <w:sz w:val="32"/>
          <w:szCs w:val="32"/>
        </w:rPr>
        <w:t>配套服务措施远不能满足实际工作需要，造成人</w:t>
      </w:r>
      <w:r>
        <w:rPr>
          <w:rFonts w:hint="eastAsia" w:ascii="仿宋_GB2312" w:hAnsi="仿宋_GB2312" w:eastAsia="仿宋_GB2312" w:cs="仿宋_GB2312"/>
          <w:b w:val="0"/>
          <w:bCs w:val="0"/>
          <w:color w:val="auto"/>
          <w:kern w:val="2"/>
          <w:sz w:val="32"/>
          <w:szCs w:val="32"/>
          <w:u w:val="none"/>
          <w:lang w:val="en-US" w:eastAsia="zh-CN"/>
        </w:rPr>
        <w:t>才浪费和难引进的严重问题：</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kern w:val="2"/>
          <w:sz w:val="32"/>
          <w:szCs w:val="32"/>
          <w:u w:val="none"/>
          <w:lang w:val="en-US" w:eastAsia="zh-CN"/>
        </w:rPr>
        <w:t>一是</w:t>
      </w:r>
      <w:r>
        <w:rPr>
          <w:rFonts w:hint="eastAsia" w:ascii="仿宋_GB2312" w:hAnsi="仿宋_GB2312" w:eastAsia="仿宋_GB2312" w:cs="仿宋_GB2312"/>
          <w:b w:val="0"/>
          <w:bCs w:val="0"/>
          <w:color w:val="auto"/>
          <w:kern w:val="2"/>
          <w:sz w:val="32"/>
          <w:szCs w:val="32"/>
          <w:u w:val="none"/>
          <w:lang w:val="en-US" w:eastAsia="zh-CN"/>
        </w:rPr>
        <w:t>目前小谷围街道10所高校中，只有华南师范大学和广州大</w:t>
      </w:r>
      <w:r>
        <w:rPr>
          <w:rFonts w:hint="eastAsia" w:ascii="仿宋_GB2312" w:hAnsi="仿宋_GB2312" w:eastAsia="仿宋_GB2312" w:cs="仿宋_GB2312"/>
          <w:sz w:val="32"/>
          <w:szCs w:val="32"/>
        </w:rPr>
        <w:t>学自行解决了教职员工子女就近读书问题，其余教师子女需要通过摇号获得公办学位，且中签率一直不高，只有40%左右。民办幼儿园、学校的学位数也远不能满足教师需求。大部分高校教师为接送在小谷围岛外上学的孩子，都不得不每天严重迟到早退，在中年事业黄金期难以安心教学科研。高级人才资源为区域发展急需，各地纷纷争抢储备，在广州大学城却仅仅因为缺乏配套人才政策，导致大部分高校教师子女不能就近读书，长期造成高级人才的极大浪费。伴随三胎政策实施，这个问题更加严重。</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b/>
          <w:bCs/>
          <w:color w:val="auto"/>
          <w:kern w:val="2"/>
          <w:sz w:val="32"/>
          <w:szCs w:val="32"/>
          <w:u w:val="none"/>
          <w:lang w:val="en-US" w:eastAsia="zh-CN"/>
        </w:rPr>
        <w:t>二是</w:t>
      </w:r>
      <w:r>
        <w:rPr>
          <w:rFonts w:hint="eastAsia" w:ascii="仿宋_GB2312" w:hAnsi="仿宋_GB2312" w:eastAsia="仿宋_GB2312" w:cs="仿宋_GB2312"/>
          <w:b w:val="0"/>
          <w:bCs w:val="0"/>
          <w:color w:val="auto"/>
          <w:kern w:val="2"/>
          <w:sz w:val="32"/>
          <w:szCs w:val="32"/>
          <w:u w:val="none"/>
          <w:lang w:val="en-US" w:eastAsia="zh-CN"/>
        </w:rPr>
        <w:t>广州大学城全部高校都未解决在岗教师就近居住问题。岛上商</w:t>
      </w:r>
      <w:r>
        <w:rPr>
          <w:rFonts w:hint="eastAsia" w:ascii="仿宋_GB2312" w:hAnsi="仿宋_GB2312" w:eastAsia="仿宋_GB2312" w:cs="仿宋_GB2312"/>
          <w:sz w:val="32"/>
          <w:szCs w:val="32"/>
        </w:rPr>
        <w:t>品房数量有限，且价格远超教师工资收入水平；墨香北园、墨香南园、大学城佳苑等公租房源较少且入住条件苛刻，可居住年限较短（5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10年）；大学城最早规划设计在四个保留村建设教师公寓，也迟迟未能动工。高校教师不得不在大学城外购房居住，远途上班，平均每天在道路交通上耗费2</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4小时，占清醒时间的12.5%</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25%（按每天8小时睡眠计算）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造成高端知识型人才宝贵时间资源和高级</w:t>
      </w:r>
      <w:r>
        <w:rPr>
          <w:rFonts w:hint="eastAsia" w:ascii="仿宋_GB2312" w:hAnsi="仿宋_GB2312" w:eastAsia="仿宋_GB2312" w:cs="仿宋_GB2312"/>
          <w:b w:val="0"/>
          <w:bCs w:val="0"/>
          <w:color w:val="auto"/>
          <w:kern w:val="2"/>
          <w:sz w:val="32"/>
          <w:szCs w:val="32"/>
          <w:u w:val="none"/>
          <w:lang w:val="en-US" w:eastAsia="zh-CN"/>
        </w:rPr>
        <w:t>生产力的巨大浪费。</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b/>
          <w:bCs/>
          <w:color w:val="auto"/>
          <w:kern w:val="2"/>
          <w:sz w:val="32"/>
          <w:szCs w:val="32"/>
          <w:u w:val="none"/>
          <w:lang w:val="en-US" w:eastAsia="zh-CN"/>
        </w:rPr>
        <w:t>三是</w:t>
      </w:r>
      <w:r>
        <w:rPr>
          <w:rFonts w:hint="eastAsia" w:ascii="仿宋_GB2312" w:hAnsi="仿宋_GB2312" w:eastAsia="仿宋_GB2312" w:cs="仿宋_GB2312"/>
          <w:b w:val="0"/>
          <w:bCs w:val="0"/>
          <w:color w:val="auto"/>
          <w:kern w:val="2"/>
          <w:sz w:val="32"/>
          <w:szCs w:val="32"/>
          <w:u w:val="none"/>
          <w:lang w:val="en-US" w:eastAsia="zh-CN"/>
        </w:rPr>
        <w:t>由于绝大部分教师在小谷围岛外居住，下班即匆忙离开大学</w:t>
      </w:r>
      <w:r>
        <w:rPr>
          <w:rFonts w:hint="eastAsia" w:ascii="仿宋_GB2312" w:hAnsi="仿宋_GB2312" w:eastAsia="仿宋_GB2312" w:cs="仿宋_GB2312"/>
          <w:sz w:val="32"/>
          <w:szCs w:val="32"/>
        </w:rPr>
        <w:t>城，大学城高校学生课堂之外基本处于无教师陪伴状态，非常不利于师生随时随地切磋探讨学术、营造浓厚文化氛围的育人和创新环境，不符合广州大学城打造“生态之</w:t>
      </w:r>
      <w:r>
        <w:rPr>
          <w:rFonts w:hint="eastAsia" w:ascii="仿宋_GB2312" w:hAnsi="仿宋_GB2312" w:eastAsia="仿宋_GB2312" w:cs="仿宋_GB2312"/>
          <w:b w:val="0"/>
          <w:bCs w:val="0"/>
          <w:color w:val="auto"/>
          <w:kern w:val="2"/>
          <w:sz w:val="32"/>
          <w:szCs w:val="32"/>
          <w:u w:val="none"/>
          <w:lang w:val="en-US" w:eastAsia="zh-CN"/>
        </w:rPr>
        <w:t>城，科教之城，创新之城”的定位。</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kern w:val="2"/>
          <w:sz w:val="32"/>
          <w:szCs w:val="32"/>
          <w:u w:val="none"/>
          <w:lang w:val="en-US" w:eastAsia="zh-CN"/>
        </w:rPr>
        <w:t>四是</w:t>
      </w:r>
      <w:r>
        <w:rPr>
          <w:rFonts w:hint="eastAsia" w:ascii="仿宋_GB2312" w:hAnsi="仿宋_GB2312" w:eastAsia="仿宋_GB2312" w:cs="仿宋_GB2312"/>
          <w:b w:val="0"/>
          <w:bCs w:val="0"/>
          <w:color w:val="auto"/>
          <w:kern w:val="2"/>
          <w:sz w:val="32"/>
          <w:szCs w:val="32"/>
          <w:u w:val="none"/>
          <w:lang w:val="en-US" w:eastAsia="zh-CN"/>
        </w:rPr>
        <w:t>面向大学城高校教师子女的幼儿园、义务教育学位稀缺，且设定</w:t>
      </w:r>
      <w:r>
        <w:rPr>
          <w:rFonts w:hint="eastAsia" w:ascii="仿宋_GB2312" w:hAnsi="仿宋_GB2312" w:eastAsia="仿宋_GB2312" w:cs="仿宋_GB2312"/>
          <w:sz w:val="32"/>
          <w:szCs w:val="32"/>
        </w:rPr>
        <w:t>须此前在大学城居住满一年的入学限制，每年只有秋季一次招生，造成新进人才子女入学、转学插班困难，严重阻碍了大学城区域的人才引进，有损科技创新高地建设。</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弊端严重阻碍处于广深港澳科技创新走廊核心地带的大学城地缘优势的顺利发挥，大学城文化科技创新氛围未能充分营建，大学城作为广州市重要文化阵地和科技走廊策源地的功能未能充分体现，人才效益大打折扣。解决小谷围街道10所高校校区在岗教师在岛上安居乐业问题，意义重大，迫在眉睫。</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rPr>
      </w:pPr>
      <w:r>
        <w:rPr>
          <w:rFonts w:hint="eastAsia" w:ascii="仿宋_GB2312" w:hAnsi="仿宋_GB2312" w:eastAsia="仿宋_GB2312" w:cs="仿宋_GB2312"/>
          <w:sz w:val="32"/>
          <w:szCs w:val="32"/>
        </w:rPr>
        <w:t>《粤港澳大湾区发展规划纲要》专节提出“打造教育和人才高地”，支持珠三角九市借鉴港澳吸引国际高端人才的经验和做法，创造更具吸引力的引进人才环境，实行更积极、更开放、更有效的人才引进政策，加快建设粤港澳人才合作示范区。十九大以来，国内先进城市纷纷出台新一轮人才政策。2019年出台的《中共广州市委广州市人民政府关于实施“广聚英才计划”的意见》（人才新政19条），作为我市人才发展战略性文件，要求各区、各部门要贯彻落实“广聚英才计划”，筹划好本地本部门未来5年的人才工作。其中明确指出非广州市户籍高层次人才子女入学享受户籍居民同等待遇；通过新增筹建、园区配建、城市更新、共有产权等方式，力争3年内新增3万套人才公寓和公共租赁住房，优先供给重点人才使用；对来穗工作并落户的博士后、博士给予生活补贴，支持各区为硕士生、本科</w:t>
      </w:r>
      <w:r>
        <w:rPr>
          <w:rFonts w:hint="eastAsia" w:ascii="仿宋_GB2312" w:hAnsi="仿宋_GB2312" w:eastAsia="仿宋_GB2312" w:cs="仿宋_GB2312"/>
          <w:b w:val="0"/>
          <w:bCs w:val="0"/>
          <w:color w:val="auto"/>
          <w:kern w:val="2"/>
          <w:sz w:val="32"/>
          <w:szCs w:val="32"/>
          <w:u w:val="none"/>
          <w:lang w:val="en-US" w:eastAsia="zh-CN"/>
        </w:rPr>
        <w:t>生等青年人才提供安居保障，等等。</w:t>
      </w:r>
    </w:p>
    <w:p>
      <w:pPr>
        <w:pageBreakBefore w:val="0"/>
        <w:widowControl w:val="0"/>
        <w:numPr>
          <w:ilvl w:val="0"/>
          <w:numId w:val="0"/>
        </w:numPr>
        <w:kinsoku/>
        <w:wordWrap/>
        <w:overflowPunct/>
        <w:topLinePunct w:val="0"/>
        <w:autoSpaceDE/>
        <w:autoSpaceDN/>
        <w:bidi w:val="0"/>
        <w:adjustRightInd/>
        <w:snapToGrid/>
        <w:spacing w:after="0" w:line="560" w:lineRule="exact"/>
        <w:ind w:firstLine="640" w:firstLineChars="200"/>
        <w:jc w:val="both"/>
        <w:textAlignment w:val="auto"/>
        <w:rPr>
          <w:rFonts w:hint="eastAsia" w:ascii="黑体" w:hAnsi="黑体" w:eastAsia="黑体" w:cs="黑体"/>
          <w:b w:val="0"/>
          <w:bCs w:val="0"/>
          <w:color w:val="auto"/>
          <w:kern w:val="2"/>
          <w:sz w:val="32"/>
          <w:szCs w:val="32"/>
          <w:u w:val="none"/>
          <w:lang w:val="en-US" w:eastAsia="zh-CN"/>
        </w:rPr>
      </w:pPr>
      <w:r>
        <w:rPr>
          <w:rFonts w:hint="eastAsia" w:ascii="黑体" w:hAnsi="黑体" w:eastAsia="黑体" w:cs="黑体"/>
          <w:b w:val="0"/>
          <w:bCs w:val="0"/>
          <w:color w:val="auto"/>
          <w:kern w:val="2"/>
          <w:sz w:val="32"/>
          <w:szCs w:val="32"/>
          <w:u w:val="none"/>
          <w:lang w:val="en-US" w:eastAsia="zh-CN"/>
        </w:rPr>
        <w:t>二、建议</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b/>
          <w:bCs/>
          <w:color w:val="auto"/>
          <w:kern w:val="2"/>
          <w:sz w:val="32"/>
          <w:szCs w:val="32"/>
          <w:u w:val="none"/>
          <w:lang w:val="en-US" w:eastAsia="zh-CN"/>
        </w:rPr>
        <w:t>一是</w:t>
      </w:r>
      <w:r>
        <w:rPr>
          <w:rFonts w:hint="eastAsia" w:ascii="仿宋_GB2312" w:hAnsi="仿宋_GB2312" w:eastAsia="仿宋_GB2312" w:cs="仿宋_GB2312"/>
          <w:b w:val="0"/>
          <w:bCs w:val="0"/>
          <w:color w:val="auto"/>
          <w:kern w:val="2"/>
          <w:sz w:val="32"/>
          <w:szCs w:val="32"/>
          <w:u w:val="none"/>
          <w:lang w:val="en-US" w:eastAsia="zh-CN"/>
        </w:rPr>
        <w:t>进一步论证、完善大学城小谷围街道高校教师公寓租住保障政</w:t>
      </w:r>
      <w:r>
        <w:rPr>
          <w:rFonts w:hint="eastAsia" w:ascii="仿宋_GB2312" w:hAnsi="仿宋_GB2312" w:eastAsia="仿宋_GB2312" w:cs="仿宋_GB2312"/>
          <w:sz w:val="32"/>
          <w:szCs w:val="32"/>
        </w:rPr>
        <w:t>策</w:t>
      </w:r>
      <w:r>
        <w:rPr>
          <w:rFonts w:hint="eastAsia" w:ascii="仿宋_GB2312" w:hAnsi="仿宋_GB2312" w:eastAsia="仿宋_GB2312" w:cs="仿宋_GB2312"/>
          <w:b w:val="0"/>
          <w:bCs w:val="0"/>
          <w:color w:val="auto"/>
          <w:kern w:val="2"/>
          <w:sz w:val="32"/>
          <w:szCs w:val="32"/>
          <w:u w:val="none"/>
          <w:lang w:val="en-US" w:eastAsia="zh-CN"/>
        </w:rPr>
        <w:t>，为高校教师提供就近安居保障。</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b/>
          <w:bCs/>
          <w:color w:val="auto"/>
          <w:kern w:val="2"/>
          <w:sz w:val="32"/>
          <w:szCs w:val="32"/>
          <w:u w:val="none"/>
          <w:lang w:val="en-US" w:eastAsia="zh-CN"/>
        </w:rPr>
        <w:t>二是</w:t>
      </w:r>
      <w:r>
        <w:rPr>
          <w:rFonts w:hint="eastAsia" w:ascii="仿宋_GB2312" w:hAnsi="仿宋_GB2312" w:eastAsia="仿宋_GB2312" w:cs="仿宋_GB2312"/>
          <w:b w:val="0"/>
          <w:bCs w:val="0"/>
          <w:color w:val="auto"/>
          <w:kern w:val="2"/>
          <w:sz w:val="32"/>
          <w:szCs w:val="32"/>
          <w:u w:val="none"/>
          <w:lang w:val="en-US" w:eastAsia="zh-CN"/>
        </w:rPr>
        <w:t>深入开展摸查调研，增建教师公寓，保障高校教师任教期间实现在大学城的就近居住。</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b w:val="0"/>
          <w:bCs w:val="0"/>
          <w:color w:val="auto"/>
          <w:kern w:val="2"/>
          <w:sz w:val="32"/>
          <w:szCs w:val="32"/>
          <w:u w:val="none"/>
          <w:lang w:val="en-US" w:eastAsia="zh-CN"/>
        </w:rPr>
      </w:pPr>
      <w:r>
        <w:rPr>
          <w:rFonts w:hint="eastAsia" w:ascii="仿宋_GB2312" w:hAnsi="仿宋_GB2312" w:eastAsia="仿宋_GB2312" w:cs="仿宋_GB2312"/>
          <w:b/>
          <w:bCs/>
          <w:color w:val="auto"/>
          <w:kern w:val="2"/>
          <w:sz w:val="32"/>
          <w:szCs w:val="32"/>
          <w:u w:val="none"/>
          <w:lang w:val="en-US" w:eastAsia="zh-CN"/>
        </w:rPr>
        <w:t>三是</w:t>
      </w:r>
      <w:r>
        <w:rPr>
          <w:rFonts w:hint="eastAsia" w:ascii="仿宋_GB2312" w:hAnsi="仿宋_GB2312" w:eastAsia="仿宋_GB2312" w:cs="仿宋_GB2312"/>
          <w:b w:val="0"/>
          <w:bCs w:val="0"/>
          <w:color w:val="auto"/>
          <w:kern w:val="2"/>
          <w:sz w:val="32"/>
          <w:szCs w:val="32"/>
          <w:u w:val="none"/>
          <w:lang w:val="en-US" w:eastAsia="zh-CN"/>
        </w:rPr>
        <w:t>完善非番禺区户籍、不在小谷围街道居住或居住未满一年的小谷围街道高校教师子女就近入托入园、义务教育阶段入学的保障性政策。</w:t>
      </w:r>
    </w:p>
    <w:p>
      <w:pPr>
        <w:pageBreakBefore w:val="0"/>
        <w:widowControl w:val="0"/>
        <w:numPr>
          <w:ilvl w:val="0"/>
          <w:numId w:val="0"/>
        </w:numPr>
        <w:kinsoku/>
        <w:wordWrap/>
        <w:overflowPunct/>
        <w:topLinePunct w:val="0"/>
        <w:autoSpaceDE/>
        <w:autoSpaceDN/>
        <w:bidi w:val="0"/>
        <w:adjustRightInd/>
        <w:snapToGrid/>
        <w:spacing w:after="0" w:line="560" w:lineRule="exact"/>
        <w:ind w:firstLine="643"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auto"/>
          <w:kern w:val="2"/>
          <w:sz w:val="32"/>
          <w:szCs w:val="32"/>
          <w:u w:val="none"/>
          <w:lang w:val="en-US" w:eastAsia="zh-CN"/>
        </w:rPr>
        <w:t>四是</w:t>
      </w:r>
      <w:r>
        <w:rPr>
          <w:rFonts w:hint="eastAsia" w:ascii="仿宋_GB2312" w:hAnsi="仿宋_GB2312" w:eastAsia="仿宋_GB2312" w:cs="仿宋_GB2312"/>
          <w:b w:val="0"/>
          <w:bCs w:val="0"/>
          <w:color w:val="auto"/>
          <w:kern w:val="2"/>
          <w:sz w:val="32"/>
          <w:szCs w:val="32"/>
          <w:u w:val="none"/>
          <w:lang w:val="en-US" w:eastAsia="zh-CN"/>
        </w:rPr>
        <w:t>开展摸查调研，增建托儿所、幼儿园和学校，保障广州大学城高校教师子女就近入托入园和入学、灵活转学插班。</w:t>
      </w:r>
    </w:p>
    <w:sectPr>
      <w:headerReference r:id="rId5" w:type="default"/>
      <w:footerReference r:id="rId6" w:type="default"/>
      <w:pgSz w:w="11906" w:h="16838"/>
      <w:pgMar w:top="1440" w:right="1800" w:bottom="1440" w:left="1800" w:header="708" w:footer="708" w:gutter="0"/>
      <w:pgNumType w:fmt="decimal"/>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2049" o:spid="_x0000_s2049"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微软雅黑"/>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2"/>
    </o:shapelayout>
  </w:hdrShapeDefaults>
  <w:footnotePr>
    <w:footnote w:id="0"/>
    <w:footnote w:id="1"/>
  </w:footnotePr>
  <w:endnotePr>
    <w:endnote w:id="0"/>
    <w:endnote w:id="1"/>
  </w:endnotePr>
  <w:compat>
    <w:useFELayout/>
    <w:compatSetting w:name="compatibilityMode" w:uri="http://schemas.microsoft.com/office/word" w:val="12"/>
  </w:compat>
  <w:rsids>
    <w:rsidRoot w:val="00D31D50"/>
    <w:rsid w:val="00055796"/>
    <w:rsid w:val="000566E4"/>
    <w:rsid w:val="0007644E"/>
    <w:rsid w:val="00182E95"/>
    <w:rsid w:val="0018640F"/>
    <w:rsid w:val="001B0830"/>
    <w:rsid w:val="001C2C11"/>
    <w:rsid w:val="001C3814"/>
    <w:rsid w:val="001D248C"/>
    <w:rsid w:val="00245F25"/>
    <w:rsid w:val="0031219C"/>
    <w:rsid w:val="00323B43"/>
    <w:rsid w:val="003A0A32"/>
    <w:rsid w:val="003B61B8"/>
    <w:rsid w:val="003B7AC7"/>
    <w:rsid w:val="003D37D8"/>
    <w:rsid w:val="003F6A64"/>
    <w:rsid w:val="00426133"/>
    <w:rsid w:val="004358AB"/>
    <w:rsid w:val="004E7CA5"/>
    <w:rsid w:val="00525C61"/>
    <w:rsid w:val="00540A1D"/>
    <w:rsid w:val="00606108"/>
    <w:rsid w:val="00636007"/>
    <w:rsid w:val="006716BA"/>
    <w:rsid w:val="006945C6"/>
    <w:rsid w:val="006A3462"/>
    <w:rsid w:val="006F2B72"/>
    <w:rsid w:val="00701A0D"/>
    <w:rsid w:val="008828D5"/>
    <w:rsid w:val="008B1B56"/>
    <w:rsid w:val="008B7726"/>
    <w:rsid w:val="008D0074"/>
    <w:rsid w:val="008F5F27"/>
    <w:rsid w:val="00900409"/>
    <w:rsid w:val="00912BC1"/>
    <w:rsid w:val="009B1A9F"/>
    <w:rsid w:val="009D0A41"/>
    <w:rsid w:val="009F4F09"/>
    <w:rsid w:val="00A14D4D"/>
    <w:rsid w:val="00A4299F"/>
    <w:rsid w:val="00A65995"/>
    <w:rsid w:val="00A90880"/>
    <w:rsid w:val="00A9191D"/>
    <w:rsid w:val="00AB09CC"/>
    <w:rsid w:val="00B30E5A"/>
    <w:rsid w:val="00BE434D"/>
    <w:rsid w:val="00C02A45"/>
    <w:rsid w:val="00C2174D"/>
    <w:rsid w:val="00C25B2B"/>
    <w:rsid w:val="00C41054"/>
    <w:rsid w:val="00CB4271"/>
    <w:rsid w:val="00CC1BD6"/>
    <w:rsid w:val="00CF036C"/>
    <w:rsid w:val="00CF19CA"/>
    <w:rsid w:val="00D041BE"/>
    <w:rsid w:val="00D27708"/>
    <w:rsid w:val="00D27DDE"/>
    <w:rsid w:val="00D31D50"/>
    <w:rsid w:val="00D94D9E"/>
    <w:rsid w:val="00D956EB"/>
    <w:rsid w:val="00DE77EF"/>
    <w:rsid w:val="00E67D36"/>
    <w:rsid w:val="00E84622"/>
    <w:rsid w:val="00EA746C"/>
    <w:rsid w:val="00EC0AAA"/>
    <w:rsid w:val="00FF40A2"/>
    <w:rsid w:val="17590EB7"/>
    <w:rsid w:val="250F0ECD"/>
    <w:rsid w:val="2D6354DE"/>
    <w:rsid w:val="39D33274"/>
    <w:rsid w:val="4E5B0227"/>
    <w:rsid w:val="5EBD3363"/>
    <w:rsid w:val="704E7549"/>
    <w:rsid w:val="782304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6"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1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pPr>
      <w:spacing w:after="0"/>
    </w:pPr>
    <w:rPr>
      <w:sz w:val="18"/>
      <w:szCs w:val="18"/>
    </w:rPr>
  </w:style>
  <w:style w:type="paragraph" w:styleId="4">
    <w:name w:val="footer"/>
    <w:basedOn w:val="1"/>
    <w:link w:val="11"/>
    <w:semiHidden/>
    <w:unhideWhenUsed/>
    <w:qFormat/>
    <w:uiPriority w:val="99"/>
    <w:pPr>
      <w:tabs>
        <w:tab w:val="center" w:pos="4153"/>
        <w:tab w:val="right" w:pos="8306"/>
      </w:tabs>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semiHidden/>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7">
    <w:name w:val="Title"/>
    <w:basedOn w:val="1"/>
    <w:next w:val="1"/>
    <w:link w:val="15"/>
    <w:qFormat/>
    <w:uiPriority w:val="6"/>
    <w:pPr>
      <w:widowControl w:val="0"/>
      <w:adjustRightInd/>
      <w:snapToGrid/>
      <w:spacing w:after="0"/>
      <w:jc w:val="center"/>
      <w:outlineLvl w:val="0"/>
    </w:pPr>
    <w:rPr>
      <w:rFonts w:ascii="Cambria" w:hAnsi="Cambria" w:eastAsia="黑体" w:cs="Times New Roman"/>
      <w:b/>
      <w:bCs/>
      <w:kern w:val="2"/>
      <w:sz w:val="32"/>
      <w:szCs w:val="32"/>
    </w:rPr>
  </w:style>
  <w:style w:type="character" w:customStyle="1" w:styleId="10">
    <w:name w:val="页眉 Char"/>
    <w:basedOn w:val="9"/>
    <w:link w:val="5"/>
    <w:semiHidden/>
    <w:qFormat/>
    <w:uiPriority w:val="99"/>
    <w:rPr>
      <w:rFonts w:ascii="Tahoma" w:hAnsi="Tahoma"/>
      <w:sz w:val="18"/>
      <w:szCs w:val="18"/>
    </w:rPr>
  </w:style>
  <w:style w:type="character" w:customStyle="1" w:styleId="11">
    <w:name w:val="页脚 Char"/>
    <w:basedOn w:val="9"/>
    <w:link w:val="4"/>
    <w:semiHidden/>
    <w:qFormat/>
    <w:uiPriority w:val="99"/>
    <w:rPr>
      <w:rFonts w:ascii="Tahoma" w:hAnsi="Tahoma"/>
      <w:sz w:val="18"/>
      <w:szCs w:val="18"/>
    </w:rPr>
  </w:style>
  <w:style w:type="character" w:customStyle="1" w:styleId="12">
    <w:name w:val="标题 2 Char"/>
    <w:basedOn w:val="9"/>
    <w:link w:val="2"/>
    <w:qFormat/>
    <w:uiPriority w:val="9"/>
    <w:rPr>
      <w:rFonts w:asciiTheme="majorHAnsi" w:hAnsiTheme="majorHAnsi" w:eastAsiaTheme="majorEastAsia" w:cstheme="majorBidi"/>
      <w:b/>
      <w:bCs/>
      <w:sz w:val="32"/>
      <w:szCs w:val="32"/>
    </w:rPr>
  </w:style>
  <w:style w:type="character" w:customStyle="1" w:styleId="13">
    <w:name w:val="批注框文本 Char"/>
    <w:basedOn w:val="9"/>
    <w:link w:val="3"/>
    <w:semiHidden/>
    <w:qFormat/>
    <w:uiPriority w:val="99"/>
    <w:rPr>
      <w:rFonts w:ascii="Tahoma" w:hAnsi="Tahoma"/>
      <w:sz w:val="18"/>
      <w:szCs w:val="18"/>
    </w:rPr>
  </w:style>
  <w:style w:type="paragraph" w:customStyle="1" w:styleId="14">
    <w:name w:val="_Style 2"/>
    <w:basedOn w:val="1"/>
    <w:next w:val="1"/>
    <w:qFormat/>
    <w:uiPriority w:val="0"/>
    <w:pPr>
      <w:widowControl w:val="0"/>
      <w:pBdr>
        <w:top w:val="single" w:color="auto" w:sz="6" w:space="1"/>
      </w:pBdr>
      <w:adjustRightInd/>
      <w:snapToGrid/>
      <w:spacing w:after="0" w:line="480" w:lineRule="auto"/>
      <w:jc w:val="center"/>
    </w:pPr>
    <w:rPr>
      <w:rFonts w:ascii="Arial" w:hAnsi="Arial" w:eastAsia="宋体" w:cs="Arial"/>
      <w:vanish/>
      <w:kern w:val="2"/>
      <w:sz w:val="16"/>
      <w:szCs w:val="16"/>
    </w:rPr>
  </w:style>
  <w:style w:type="character" w:customStyle="1" w:styleId="15">
    <w:name w:val="标题 Char"/>
    <w:basedOn w:val="9"/>
    <w:link w:val="7"/>
    <w:qFormat/>
    <w:uiPriority w:val="6"/>
    <w:rPr>
      <w:rFonts w:ascii="Cambria" w:hAnsi="Cambria" w:eastAsia="黑体" w:cs="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6"/>
    <customShpInfo spid="_x0000_s1027"/>
    <customShpInfo spid="_x0000_s1036"/>
    <customShpInfo spid="_x0000_s1037"/>
    <customShpInfo spid="_x0000_s1038"/>
    <customShpInfo spid="_x0000_s1030"/>
    <customShpInfo spid="_x0000_s1029"/>
    <customShpInfo spid="_x0000_s1028"/>
    <customShpInfo spid="_x0000_s1032"/>
    <customShpInfo spid="_x0000_s1033"/>
    <customShpInfo spid="_x0000_s1031"/>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384</Words>
  <Characters>2192</Characters>
  <Lines>18</Lines>
  <Paragraphs>5</Paragraphs>
  <TotalTime>210</TotalTime>
  <ScaleCrop>false</ScaleCrop>
  <LinksUpToDate>false</LinksUpToDate>
  <CharactersWithSpaces>2571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lenovo</dc:creator>
  <cp:lastModifiedBy>user</cp:lastModifiedBy>
  <cp:lastPrinted>2022-01-13T11:52:00Z</cp:lastPrinted>
  <dcterms:modified xsi:type="dcterms:W3CDTF">2023-09-07T08:21:01Z</dcterms:modified>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0E698C5033F94F20B502DC3DCAE03F08</vt:lpwstr>
  </property>
</Properties>
</file>