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hAnsi="宋体"/>
          <w:sz w:val="32"/>
          <w:szCs w:val="32"/>
        </w:rPr>
      </w:pPr>
      <w:r>
        <w:rPr>
          <w:rFonts w:hint="eastAsia" w:ascii="宋体" w:hAnsi="宋体"/>
          <w:sz w:val="32"/>
          <w:szCs w:val="32"/>
        </w:rPr>
        <w:t>第</w:t>
      </w:r>
      <w:r>
        <w:rPr>
          <w:rFonts w:hint="eastAsia" w:ascii="宋体" w:hAnsi="宋体"/>
          <w:sz w:val="32"/>
          <w:szCs w:val="32"/>
          <w:u w:val="single"/>
          <w:lang w:val="en-US" w:eastAsia="zh-CN"/>
        </w:rPr>
        <w:t xml:space="preserve">  58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番禺区政协十四届七次会议提案</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276" w:lineRule="auto"/>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hint="eastAsia" w:ascii="仿宋_GB2312" w:hAnsi="宋体" w:eastAsia="仿宋_GB2312"/>
                <w:sz w:val="32"/>
                <w:szCs w:val="32"/>
              </w:rPr>
              <w:t>关于加强番禺区大西路、解放路道路交通管理的建议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276" w:lineRule="auto"/>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ascii="仿宋_GB2312" w:hAnsi="宋体" w:eastAsia="仿宋_GB2312"/>
                <w:sz w:val="32"/>
                <w:szCs w:val="32"/>
              </w:rPr>
              <w:t>吴卫灵</w:t>
            </w:r>
          </w:p>
        </w:tc>
        <w:tc>
          <w:tcPr>
            <w:tcW w:w="1276" w:type="dxa"/>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ascii="仿宋_GB2312" w:hAnsi="宋体" w:eastAsia="仿宋_GB2312"/>
                <w:sz w:val="32"/>
                <w:szCs w:val="32"/>
              </w:rPr>
              <w:t>吴卫灵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276" w:lineRule="auto"/>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hint="eastAsia" w:ascii="仿宋_GB2312" w:hAnsi="宋体" w:eastAsia="仿宋_GB2312"/>
                <w:sz w:val="32"/>
                <w:szCs w:val="32"/>
              </w:rPr>
              <w:t>广州建达建设管理有限公司</w:t>
            </w:r>
          </w:p>
        </w:tc>
        <w:tc>
          <w:tcPr>
            <w:tcW w:w="1276" w:type="dxa"/>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hint="eastAsia" w:ascii="仿宋_GB2312" w:hAnsi="宋体" w:eastAsia="仿宋_GB2312"/>
                <w:sz w:val="32"/>
                <w:szCs w:val="32"/>
              </w:rPr>
              <w:t>职务</w:t>
            </w:r>
          </w:p>
        </w:tc>
        <w:tc>
          <w:tcPr>
            <w:tcW w:w="2318" w:type="dxa"/>
            <w:gridSpan w:val="2"/>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hint="eastAsia" w:ascii="仿宋_GB2312" w:hAnsi="宋体" w:eastAsia="仿宋_GB2312"/>
                <w:sz w:val="32"/>
                <w:szCs w:val="32"/>
              </w:rPr>
              <w:t>董事长兼总经理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276" w:lineRule="auto"/>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276" w:lineRule="auto"/>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bookmarkStart w:id="0" w:name="_GoBack"/>
            <w:bookmarkEnd w:id="0"/>
          </w:p>
        </w:tc>
        <w:tc>
          <w:tcPr>
            <w:tcW w:w="992" w:type="dxa"/>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spacing w:line="276" w:lineRule="auto"/>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276" w:lineRule="auto"/>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spacing w:line="276" w:lineRule="auto"/>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276" w:lineRule="auto"/>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tcPr>
          <w:p>
            <w:pPr>
              <w:spacing w:line="276" w:lineRule="auto"/>
              <w:rPr>
                <w:rFonts w:ascii="仿宋_GB2312" w:hAnsi="宋体" w:eastAsia="仿宋_GB2312"/>
                <w:sz w:val="32"/>
                <w:szCs w:val="32"/>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440" w:lineRule="exact"/>
        <w:rPr>
          <w:rFonts w:ascii="宋体" w:hAnsi="宋体"/>
          <w:b/>
          <w:sz w:val="30"/>
          <w:szCs w:val="30"/>
        </w:rPr>
      </w:pPr>
      <w:r>
        <w:rPr>
          <w:rFonts w:hint="eastAsia" w:ascii="宋体" w:hAnsi="宋体"/>
          <w:b/>
          <w:sz w:val="30"/>
          <w:szCs w:val="30"/>
        </w:rPr>
        <w:t>是否同意公开：</w:t>
      </w:r>
    </w:p>
    <w:p>
      <w:pPr>
        <w:spacing w:line="440" w:lineRule="exact"/>
        <w:rPr>
          <w:rFonts w:ascii="宋体"/>
          <w:sz w:val="30"/>
          <w:szCs w:val="30"/>
        </w:rPr>
      </w:pPr>
      <w:r>
        <w:rPr>
          <w:rFonts w:hint="eastAsia" w:ascii="宋体" w:hAnsi="宋体"/>
          <w:sz w:val="30"/>
          <w:szCs w:val="30"/>
        </w:rPr>
        <w:t>√是○否</w:t>
      </w:r>
    </w:p>
    <w:p>
      <w:pPr>
        <w:spacing w:line="440" w:lineRule="exact"/>
        <w:rPr>
          <w:rFonts w:ascii="宋体" w:hAnsi="宋体"/>
          <w:b/>
          <w:sz w:val="30"/>
          <w:szCs w:val="30"/>
        </w:rPr>
      </w:pPr>
      <w:r>
        <w:rPr>
          <w:rFonts w:hint="eastAsia" w:ascii="宋体" w:hAnsi="宋体"/>
          <w:b/>
          <w:sz w:val="30"/>
          <w:szCs w:val="30"/>
        </w:rPr>
        <w:t>建议办理单位：</w:t>
      </w:r>
    </w:p>
    <w:p>
      <w:pPr>
        <w:spacing w:line="440" w:lineRule="exact"/>
        <w:rPr>
          <w:rFonts w:ascii="宋体"/>
          <w:b/>
          <w:sz w:val="30"/>
          <w:szCs w:val="30"/>
        </w:rPr>
      </w:pPr>
      <w:r>
        <w:rPr>
          <w:rFonts w:ascii="宋体" w:hAnsi="宋体"/>
          <w:b/>
          <w:sz w:val="30"/>
          <w:szCs w:val="30"/>
        </w:rPr>
        <w:t>1.</w:t>
      </w:r>
      <w:r>
        <w:rPr>
          <w:rFonts w:hint="eastAsia" w:ascii="宋体" w:hAnsi="宋体"/>
          <w:b/>
          <w:sz w:val="30"/>
          <w:szCs w:val="30"/>
        </w:rPr>
        <w:t>交通运输</w:t>
      </w:r>
      <w:r>
        <w:rPr>
          <w:rFonts w:ascii="宋体" w:hAnsi="宋体"/>
          <w:b/>
          <w:sz w:val="30"/>
          <w:szCs w:val="30"/>
        </w:rPr>
        <w:t>局</w:t>
      </w:r>
    </w:p>
    <w:p>
      <w:pPr>
        <w:spacing w:line="440" w:lineRule="exact"/>
        <w:rPr>
          <w:rFonts w:ascii="宋体"/>
          <w:b/>
          <w:sz w:val="30"/>
          <w:szCs w:val="30"/>
        </w:rPr>
      </w:pPr>
      <w:r>
        <w:rPr>
          <w:rFonts w:ascii="宋体" w:hAnsi="宋体"/>
          <w:b/>
          <w:sz w:val="30"/>
          <w:szCs w:val="30"/>
        </w:rPr>
        <w:t>2.</w:t>
      </w:r>
      <w:r>
        <w:rPr>
          <w:rFonts w:hint="eastAsia" w:ascii="宋体" w:hAnsi="宋体"/>
          <w:b/>
          <w:sz w:val="30"/>
          <w:szCs w:val="30"/>
        </w:rPr>
        <w:t>教育局</w:t>
      </w:r>
    </w:p>
    <w:p>
      <w:pPr>
        <w:adjustRightInd/>
        <w:snapToGrid/>
        <w:spacing w:after="0"/>
        <w:jc w:val="center"/>
        <w:rPr>
          <w:rFonts w:ascii="方正小标宋简体" w:eastAsia="方正小标宋简体" w:hAnsiTheme="minorEastAsia"/>
          <w:sz w:val="44"/>
          <w:szCs w:val="44"/>
        </w:rPr>
      </w:pPr>
      <w:r>
        <w:rPr>
          <w:rFonts w:ascii="方正小标宋简体" w:eastAsia="方正小标宋简体" w:hAnsiTheme="minorEastAsia"/>
          <w:sz w:val="44"/>
          <w:szCs w:val="44"/>
        </w:rPr>
        <w:br w:type="page"/>
      </w:r>
    </w:p>
    <w:p>
      <w:pPr>
        <w:spacing w:line="220" w:lineRule="atLeast"/>
        <w:jc w:val="both"/>
        <w:rPr>
          <w:rFonts w:ascii="黑体" w:hAnsi="黑体" w:eastAsia="黑体"/>
          <w:b/>
          <w:sz w:val="32"/>
          <w:szCs w:val="32"/>
        </w:rPr>
      </w:pPr>
      <w:r>
        <w:rPr>
          <w:rFonts w:hint="eastAsia" w:ascii="黑体" w:hAnsi="黑体" w:eastAsia="黑体"/>
          <w:b/>
          <w:sz w:val="32"/>
          <w:szCs w:val="32"/>
        </w:rPr>
        <w:t>理 由：</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市桥街作为番禺区常住人口较多的片区之一，</w:t>
      </w:r>
      <w:r>
        <w:rPr>
          <w:rFonts w:ascii="仿宋" w:hAnsi="仿宋" w:eastAsia="仿宋"/>
          <w:sz w:val="30"/>
          <w:szCs w:val="30"/>
        </w:rPr>
        <w:t>依托着地铁与密集的公路网,大力发展商贸业</w:t>
      </w:r>
      <w:r>
        <w:rPr>
          <w:rFonts w:hint="eastAsia" w:ascii="仿宋" w:hAnsi="仿宋" w:eastAsia="仿宋"/>
          <w:sz w:val="30"/>
          <w:szCs w:val="30"/>
        </w:rPr>
        <w:t>，</w:t>
      </w:r>
      <w:r>
        <w:rPr>
          <w:rFonts w:ascii="仿宋" w:hAnsi="仿宋" w:eastAsia="仿宋"/>
          <w:sz w:val="30"/>
          <w:szCs w:val="30"/>
        </w:rPr>
        <w:t>其中</w:t>
      </w:r>
      <w:r>
        <w:rPr>
          <w:rFonts w:hint="eastAsia" w:ascii="仿宋" w:hAnsi="仿宋" w:eastAsia="仿宋"/>
          <w:sz w:val="30"/>
          <w:szCs w:val="30"/>
        </w:rPr>
        <w:t>大西路和解放路路段作为市桥街的重要道路之一，更是为该片区的发展提供了不可忽视的力量，然而随着人口的增长和城市交通需求的不断增加，再加上该路段周边有多个老旧小区、教育机构和集市等大中型人群密集场所，早期的城市道路规划跟落后的交通管理已经跟不上城市发展的脚步，甚至形成制约。</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当前大西路、解放路老旧小区道路交通管理主要存在以下几个问题：</w:t>
      </w:r>
    </w:p>
    <w:p>
      <w:pPr>
        <w:adjustRightInd/>
        <w:snapToGrid/>
        <w:spacing w:after="0"/>
        <w:ind w:firstLine="602" w:firstLineChars="200"/>
        <w:rPr>
          <w:rFonts w:ascii="仿宋" w:hAnsi="仿宋" w:eastAsia="仿宋"/>
          <w:b/>
          <w:sz w:val="30"/>
          <w:szCs w:val="30"/>
        </w:rPr>
      </w:pPr>
      <w:r>
        <w:rPr>
          <w:rFonts w:hint="eastAsia" w:ascii="仿宋" w:hAnsi="仿宋" w:eastAsia="仿宋"/>
          <w:b/>
          <w:sz w:val="30"/>
          <w:szCs w:val="30"/>
        </w:rPr>
        <w:t>一、道路密度不足，交通负荷大</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大西路、解放路为东西向单行线二车道，道路窄小，但是道路网系统内有多个兴建于上世纪八九十年代甚至更早的老旧小区，沿路分布有南阳里小学第一校区和第二校区、工业幼儿园、多智达幼儿园等多家教育机构，在解放路段还有一个小型的菜市场——三堂市场。</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近年来，人均机动车保有量持续快速增长，但道路资源、停车设施难以满足现状需求，尤其南阳里小学第一校区大门口就在大西路边，上、放学时段的人流和接送车辆也造成了极大的交通压力，交通负荷日趋加重。</w:t>
      </w:r>
    </w:p>
    <w:p>
      <w:pPr>
        <w:adjustRightInd/>
        <w:snapToGrid/>
        <w:spacing w:after="0"/>
        <w:ind w:firstLine="602" w:firstLineChars="200"/>
        <w:rPr>
          <w:rFonts w:ascii="仿宋" w:hAnsi="仿宋" w:eastAsia="仿宋"/>
          <w:b/>
          <w:sz w:val="30"/>
          <w:szCs w:val="30"/>
        </w:rPr>
      </w:pPr>
      <w:r>
        <w:rPr>
          <w:rFonts w:hint="eastAsia" w:ascii="仿宋" w:hAnsi="仿宋" w:eastAsia="仿宋"/>
          <w:b/>
          <w:sz w:val="30"/>
          <w:szCs w:val="30"/>
        </w:rPr>
        <w:t>二、交通秩序混乱，管理难度大</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为了方便接送学生的车辆临时停车，大西路段右侧设置有城市道路临时停车位，虽然在一定程度缓解了停车位不足的压力，但是带来了道路通行宽度变窄，车辆通行速度变慢的不良影响。</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由于在上、放学时间段仅有一车道供接送车辆以外的机动车行驶，其中还要夹杂非机动车和电动车，</w:t>
      </w:r>
      <w:r>
        <w:rPr>
          <w:rFonts w:ascii="仿宋" w:hAnsi="仿宋" w:eastAsia="仿宋"/>
          <w:sz w:val="30"/>
          <w:szCs w:val="30"/>
        </w:rPr>
        <w:t>私家车接送学生的比例</w:t>
      </w:r>
      <w:r>
        <w:rPr>
          <w:rFonts w:hint="eastAsia" w:ascii="仿宋" w:hAnsi="仿宋" w:eastAsia="仿宋"/>
          <w:sz w:val="30"/>
          <w:szCs w:val="30"/>
        </w:rPr>
        <w:t>在</w:t>
      </w:r>
      <w:r>
        <w:rPr>
          <w:rFonts w:ascii="仿宋" w:hAnsi="仿宋" w:eastAsia="仿宋"/>
          <w:sz w:val="30"/>
          <w:szCs w:val="30"/>
        </w:rPr>
        <w:t>不断增加</w:t>
      </w:r>
      <w:r>
        <w:rPr>
          <w:rFonts w:hint="eastAsia" w:ascii="仿宋" w:hAnsi="仿宋" w:eastAsia="仿宋"/>
          <w:sz w:val="30"/>
          <w:szCs w:val="30"/>
        </w:rPr>
        <w:t>，甚至还有家长会违规停车在路边等候，造成堵车，而且违规变道、逆向行驶、违章停车等不良交通现象频发，交通秩序十分混乱，存在极大的安全隐患。</w:t>
      </w:r>
    </w:p>
    <w:p>
      <w:pPr>
        <w:adjustRightInd/>
        <w:snapToGrid/>
        <w:spacing w:after="0"/>
        <w:ind w:firstLine="602" w:firstLineChars="200"/>
        <w:rPr>
          <w:rFonts w:ascii="仿宋" w:hAnsi="仿宋" w:eastAsia="仿宋"/>
          <w:b/>
          <w:sz w:val="30"/>
          <w:szCs w:val="30"/>
        </w:rPr>
      </w:pPr>
      <w:r>
        <w:rPr>
          <w:rFonts w:hint="eastAsia" w:ascii="仿宋" w:hAnsi="仿宋" w:eastAsia="仿宋"/>
          <w:b/>
          <w:sz w:val="30"/>
          <w:szCs w:val="30"/>
        </w:rPr>
        <w:t>三、人行道无保障，危险系数大</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大西路段的南阳里小学第一校区门口的人行横道无设置红绿灯，对行人和车辆的通行起不到应有的指引作用，极易造成交通事故。</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每到上、放学高峰期，大西路就显得非常拥挤和堵塞，不仅通过人行道的人流量变大，非机动车及电动车也密集通行，还有一些不守交规的非机动车和电动车逆向行驶，学生和其他行人在车辆中穿梭，小学生反应较慢，时常与往来的车辆擦肩而过，险象环生，让人揪心。</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这些问题和矛盾，</w:t>
      </w:r>
      <w:r>
        <w:rPr>
          <w:rFonts w:ascii="仿宋" w:hAnsi="仿宋" w:eastAsia="仿宋"/>
          <w:sz w:val="30"/>
          <w:szCs w:val="30"/>
        </w:rPr>
        <w:t>不但</w:t>
      </w:r>
      <w:r>
        <w:rPr>
          <w:rFonts w:hint="eastAsia" w:ascii="仿宋" w:hAnsi="仿宋" w:eastAsia="仿宋"/>
          <w:sz w:val="30"/>
          <w:szCs w:val="30"/>
        </w:rPr>
        <w:t>影响了正常的行车秩序，给人们的生命安全带来威胁，给机动车的行驶带来障碍，也影响了城市综合治理。为保障交通安全，维护文明城市的形象，我建议对番禺区大西路、解放路道路加强交通管理。</w:t>
      </w:r>
    </w:p>
    <w:p>
      <w:pPr>
        <w:spacing w:line="220" w:lineRule="atLeast"/>
        <w:jc w:val="both"/>
        <w:rPr>
          <w:rFonts w:ascii="黑体" w:hAnsi="黑体" w:eastAsia="黑体"/>
          <w:b/>
          <w:sz w:val="32"/>
          <w:szCs w:val="32"/>
        </w:rPr>
      </w:pPr>
    </w:p>
    <w:p>
      <w:pPr>
        <w:spacing w:line="220" w:lineRule="atLeast"/>
        <w:jc w:val="both"/>
        <w:rPr>
          <w:rFonts w:ascii="黑体" w:hAnsi="黑体" w:eastAsia="黑体"/>
          <w:b/>
          <w:sz w:val="32"/>
          <w:szCs w:val="32"/>
        </w:rPr>
      </w:pPr>
      <w:r>
        <w:rPr>
          <w:rFonts w:hint="eastAsia" w:ascii="黑体" w:hAnsi="黑体" w:eastAsia="黑体"/>
          <w:b/>
          <w:sz w:val="32"/>
          <w:szCs w:val="32"/>
        </w:rPr>
        <w:t>办 法：</w:t>
      </w:r>
    </w:p>
    <w:p>
      <w:pPr>
        <w:adjustRightInd/>
        <w:snapToGrid/>
        <w:spacing w:after="0"/>
        <w:ind w:firstLine="602" w:firstLineChars="200"/>
        <w:rPr>
          <w:rFonts w:ascii="仿宋" w:hAnsi="仿宋" w:eastAsia="仿宋"/>
          <w:b/>
          <w:sz w:val="30"/>
          <w:szCs w:val="30"/>
        </w:rPr>
      </w:pPr>
      <w:r>
        <w:rPr>
          <w:rFonts w:hint="eastAsia" w:ascii="仿宋" w:hAnsi="仿宋" w:eastAsia="仿宋"/>
          <w:b/>
          <w:sz w:val="30"/>
          <w:szCs w:val="30"/>
        </w:rPr>
        <w:t>一、完善路网建设，提高交管能力</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一方面依托道路交通大数据管理平台，结合片区路网的交通需求、用地布局，在原有城市控规的基础上适当增加道路网密度；或者通过对道路的集中改造提升，提高城市道路配套设施，改善城市道路的通行状况。</w:t>
      </w:r>
      <w:r>
        <w:rPr>
          <w:rFonts w:ascii="仿宋" w:hAnsi="仿宋" w:eastAsia="仿宋"/>
          <w:sz w:val="30"/>
          <w:szCs w:val="30"/>
        </w:rPr>
        <w:t xml:space="preserve"> </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另一方面可以通过引进先进的道路管理手段，对交通管理人员进行定期培训，提高交通疏导能力，充实管理机构的组织力量；同时</w:t>
      </w:r>
      <w:r>
        <w:rPr>
          <w:rFonts w:ascii="仿宋" w:hAnsi="仿宋" w:eastAsia="仿宋"/>
          <w:sz w:val="30"/>
          <w:szCs w:val="30"/>
        </w:rPr>
        <w:t>持续推进</w:t>
      </w:r>
      <w:r>
        <w:rPr>
          <w:rFonts w:hint="eastAsia" w:ascii="仿宋" w:hAnsi="仿宋" w:eastAsia="仿宋"/>
          <w:sz w:val="30"/>
          <w:szCs w:val="30"/>
        </w:rPr>
        <w:t>片区道路</w:t>
      </w:r>
      <w:r>
        <w:rPr>
          <w:rFonts w:ascii="仿宋" w:hAnsi="仿宋" w:eastAsia="仿宋"/>
          <w:sz w:val="30"/>
          <w:szCs w:val="30"/>
        </w:rPr>
        <w:t>标准化管理、</w:t>
      </w:r>
      <w:r>
        <w:rPr>
          <w:rFonts w:hint="eastAsia" w:ascii="仿宋" w:hAnsi="仿宋" w:eastAsia="仿宋"/>
          <w:sz w:val="30"/>
          <w:szCs w:val="30"/>
        </w:rPr>
        <w:t>时段性</w:t>
      </w:r>
      <w:r>
        <w:rPr>
          <w:rFonts w:ascii="仿宋" w:hAnsi="仿宋" w:eastAsia="仿宋"/>
          <w:sz w:val="30"/>
          <w:szCs w:val="30"/>
        </w:rPr>
        <w:t>巡逻布警等工作，</w:t>
      </w:r>
      <w:r>
        <w:rPr>
          <w:rFonts w:hint="eastAsia" w:ascii="仿宋" w:hAnsi="仿宋" w:eastAsia="仿宋"/>
          <w:sz w:val="30"/>
          <w:szCs w:val="30"/>
        </w:rPr>
        <w:t>加强对逆行等违规行为的管理，使</w:t>
      </w:r>
      <w:r>
        <w:rPr>
          <w:rFonts w:ascii="仿宋" w:hAnsi="仿宋" w:eastAsia="仿宋"/>
          <w:sz w:val="30"/>
          <w:szCs w:val="30"/>
        </w:rPr>
        <w:t>监督</w:t>
      </w:r>
      <w:r>
        <w:rPr>
          <w:rFonts w:hint="eastAsia" w:ascii="仿宋" w:hAnsi="仿宋" w:eastAsia="仿宋"/>
          <w:sz w:val="30"/>
          <w:szCs w:val="30"/>
        </w:rPr>
        <w:t>管理</w:t>
      </w:r>
      <w:r>
        <w:rPr>
          <w:rFonts w:ascii="仿宋" w:hAnsi="仿宋" w:eastAsia="仿宋"/>
          <w:sz w:val="30"/>
          <w:szCs w:val="30"/>
        </w:rPr>
        <w:t>常态化，不断提高见警率、管事率</w:t>
      </w:r>
      <w:r>
        <w:rPr>
          <w:rFonts w:hint="eastAsia" w:ascii="仿宋" w:hAnsi="仿宋" w:eastAsia="仿宋"/>
          <w:sz w:val="30"/>
          <w:szCs w:val="30"/>
        </w:rPr>
        <w:t>。</w:t>
      </w:r>
    </w:p>
    <w:p>
      <w:pPr>
        <w:adjustRightInd/>
        <w:snapToGrid/>
        <w:spacing w:after="0"/>
        <w:ind w:firstLine="602" w:firstLineChars="200"/>
        <w:rPr>
          <w:rFonts w:ascii="仿宋" w:hAnsi="仿宋" w:eastAsia="仿宋"/>
          <w:b/>
          <w:sz w:val="30"/>
          <w:szCs w:val="30"/>
        </w:rPr>
      </w:pPr>
      <w:r>
        <w:rPr>
          <w:rFonts w:hint="eastAsia" w:ascii="仿宋" w:hAnsi="仿宋" w:eastAsia="仿宋"/>
          <w:b/>
          <w:sz w:val="30"/>
          <w:szCs w:val="30"/>
        </w:rPr>
        <w:t>二、大力发掘停车位，减轻拥堵。</w:t>
      </w:r>
      <w:r>
        <w:rPr>
          <w:rFonts w:ascii="仿宋" w:hAnsi="仿宋" w:eastAsia="仿宋"/>
          <w:b/>
          <w:sz w:val="30"/>
          <w:szCs w:val="30"/>
        </w:rPr>
        <w:t xml:space="preserve"> </w:t>
      </w:r>
    </w:p>
    <w:p>
      <w:pPr>
        <w:adjustRightInd/>
        <w:snapToGrid/>
        <w:spacing w:after="0"/>
        <w:ind w:firstLine="600" w:firstLineChars="200"/>
        <w:rPr>
          <w:rFonts w:ascii="仿宋" w:hAnsi="仿宋" w:eastAsia="仿宋"/>
          <w:sz w:val="30"/>
          <w:szCs w:val="30"/>
        </w:rPr>
      </w:pPr>
      <w:r>
        <w:rPr>
          <w:rFonts w:ascii="仿宋" w:hAnsi="仿宋" w:eastAsia="仿宋"/>
          <w:sz w:val="30"/>
          <w:szCs w:val="30"/>
        </w:rPr>
        <w:t>针对</w:t>
      </w:r>
      <w:r>
        <w:rPr>
          <w:rFonts w:hint="eastAsia" w:ascii="仿宋" w:hAnsi="仿宋" w:eastAsia="仿宋"/>
          <w:sz w:val="30"/>
          <w:szCs w:val="30"/>
        </w:rPr>
        <w:t>上、放学的特殊时段，建议可在大西路左侧设置时段性的机动车临时停放点，除指定时段外都禁止停车，在</w:t>
      </w:r>
      <w:r>
        <w:rPr>
          <w:rFonts w:ascii="仿宋" w:hAnsi="仿宋" w:eastAsia="仿宋"/>
          <w:sz w:val="30"/>
          <w:szCs w:val="30"/>
        </w:rPr>
        <w:t>学校周边主要路口增设</w:t>
      </w:r>
      <w:r>
        <w:rPr>
          <w:rFonts w:hint="eastAsia" w:ascii="仿宋" w:hAnsi="仿宋" w:eastAsia="仿宋"/>
          <w:sz w:val="30"/>
          <w:szCs w:val="30"/>
        </w:rPr>
        <w:t>醒目的</w:t>
      </w:r>
      <w:r>
        <w:rPr>
          <w:rFonts w:ascii="仿宋" w:hAnsi="仿宋" w:eastAsia="仿宋"/>
          <w:sz w:val="30"/>
          <w:szCs w:val="30"/>
        </w:rPr>
        <w:t>交通绕行提示牌</w:t>
      </w:r>
      <w:r>
        <w:rPr>
          <w:rFonts w:hint="eastAsia" w:ascii="仿宋" w:hAnsi="仿宋" w:eastAsia="仿宋"/>
          <w:sz w:val="30"/>
          <w:szCs w:val="30"/>
        </w:rPr>
        <w:t>，引导社会车辆在此时段绕行。</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安排警力在校园周边拥堵路段、节点开展指挥疏导，引导送学车辆快上、快下、快走。</w:t>
      </w:r>
    </w:p>
    <w:p>
      <w:pPr>
        <w:adjustRightInd/>
        <w:snapToGrid/>
        <w:spacing w:after="0"/>
        <w:ind w:firstLine="602" w:firstLineChars="200"/>
        <w:rPr>
          <w:rFonts w:ascii="仿宋" w:hAnsi="仿宋" w:eastAsia="仿宋"/>
          <w:b/>
          <w:sz w:val="30"/>
          <w:szCs w:val="30"/>
        </w:rPr>
      </w:pPr>
      <w:r>
        <w:rPr>
          <w:rFonts w:hint="eastAsia" w:ascii="仿宋" w:hAnsi="仿宋" w:eastAsia="仿宋"/>
          <w:b/>
          <w:sz w:val="30"/>
          <w:szCs w:val="30"/>
        </w:rPr>
        <w:t>三、提高处罚效率，全民参与监督</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在日常巡查中，加密对违法停车的巡查频次，加大现场处罚和贴条力度，通过设置闭路电视监控设备对违章行为进行监控处罚，强化非现场执法能力，提高对违章行为的处理效率。</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对交通违法者，除了加大经济处罚力度外，还可以采取</w:t>
      </w:r>
      <w:r>
        <w:rPr>
          <w:rFonts w:ascii="仿宋" w:hAnsi="仿宋" w:eastAsia="仿宋"/>
          <w:sz w:val="30"/>
          <w:szCs w:val="30"/>
        </w:rPr>
        <w:t>曝光违</w:t>
      </w:r>
      <w:r>
        <w:rPr>
          <w:rFonts w:hint="eastAsia" w:ascii="仿宋" w:hAnsi="仿宋" w:eastAsia="仿宋"/>
          <w:sz w:val="30"/>
          <w:szCs w:val="30"/>
        </w:rPr>
        <w:t>规</w:t>
      </w:r>
      <w:r>
        <w:rPr>
          <w:rFonts w:ascii="仿宋" w:hAnsi="仿宋" w:eastAsia="仿宋"/>
          <w:sz w:val="30"/>
          <w:szCs w:val="30"/>
        </w:rPr>
        <w:t>行为</w:t>
      </w:r>
      <w:r>
        <w:rPr>
          <w:rFonts w:hint="eastAsia" w:ascii="仿宋" w:hAnsi="仿宋" w:eastAsia="仿宋"/>
          <w:sz w:val="30"/>
          <w:szCs w:val="30"/>
        </w:rPr>
        <w:t>、</w:t>
      </w:r>
      <w:r>
        <w:rPr>
          <w:rFonts w:ascii="仿宋" w:hAnsi="仿宋" w:eastAsia="仿宋"/>
          <w:sz w:val="30"/>
          <w:szCs w:val="30"/>
        </w:rPr>
        <w:t>观看违法事故视频、学习抄录交通安全法规、参加志愿劝导活动</w:t>
      </w:r>
      <w:r>
        <w:rPr>
          <w:rFonts w:hint="eastAsia" w:ascii="仿宋" w:hAnsi="仿宋" w:eastAsia="仿宋"/>
          <w:sz w:val="30"/>
          <w:szCs w:val="30"/>
        </w:rPr>
        <w:t>，罚当交通协管员等惩罚方式，并且通过开设电话举报热线、微信公众号、手机APP等多类型平台鼓励社会群众举报交通违法行为，营造强烈的社会舆论监督氛围，遏制交通违法行为的发生。</w:t>
      </w:r>
    </w:p>
    <w:p>
      <w:pPr>
        <w:adjustRightInd/>
        <w:snapToGrid/>
        <w:spacing w:after="0"/>
        <w:ind w:firstLine="602" w:firstLineChars="200"/>
        <w:rPr>
          <w:rFonts w:ascii="仿宋" w:hAnsi="仿宋" w:eastAsia="仿宋"/>
          <w:b/>
          <w:sz w:val="30"/>
          <w:szCs w:val="30"/>
        </w:rPr>
      </w:pPr>
      <w:r>
        <w:rPr>
          <w:rFonts w:hint="eastAsia" w:ascii="仿宋" w:hAnsi="仿宋" w:eastAsia="仿宋"/>
          <w:b/>
          <w:sz w:val="30"/>
          <w:szCs w:val="30"/>
        </w:rPr>
        <w:t>四、完善配套设施，增强安全意识</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考虑学校的特殊性，为确保学生过街安全，建议在大西路南阳里小学路口的人行道设立简易的时段性红绿灯或触按式行人信号灯。同时在学校周边设置减速设施和限速标志，提醒车辆经过学校路段时要慢行。在其他路段还要增加必要的隔离设施和安全护栏，固定行人轨迹，减少人流与车流的冲突。</w:t>
      </w:r>
    </w:p>
    <w:p>
      <w:pPr>
        <w:adjustRightInd/>
        <w:snapToGrid/>
        <w:spacing w:after="0"/>
        <w:ind w:firstLine="600" w:firstLineChars="200"/>
        <w:rPr>
          <w:rFonts w:ascii="仿宋" w:hAnsi="仿宋" w:eastAsia="仿宋"/>
          <w:sz w:val="30"/>
          <w:szCs w:val="30"/>
        </w:rPr>
      </w:pPr>
      <w:r>
        <w:rPr>
          <w:rFonts w:hint="eastAsia" w:ascii="仿宋" w:hAnsi="仿宋" w:eastAsia="仿宋"/>
          <w:sz w:val="30"/>
          <w:szCs w:val="30"/>
        </w:rPr>
        <w:t>由教育部牵头，交通部门与学校合作，把交通安全课程纳入教学计划中，定期开展多种形式安全教育活动，提高学生对交规的知晓程度和自觉遵守交规的行为，还可以让家长与学生一起参与进来，提高家长以身作则，给孩子作表率的意识。</w:t>
      </w:r>
    </w:p>
    <w:p>
      <w:pPr>
        <w:adjustRightInd/>
        <w:snapToGrid/>
        <w:spacing w:after="0"/>
        <w:rPr>
          <w:rFonts w:ascii="方正仿宋简体" w:hAnsi="微软雅黑" w:eastAsia="方正仿宋简体" w:cs="宋体"/>
          <w:color w:val="000000"/>
          <w:sz w:val="28"/>
          <w:szCs w:val="28"/>
        </w:rPr>
      </w:pPr>
      <w:r>
        <w:drawing>
          <wp:inline distT="0" distB="0" distL="0" distR="0">
            <wp:extent cx="5688330" cy="53251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srcRect/>
                    <a:stretch>
                      <a:fillRect/>
                    </a:stretch>
                  </pic:blipFill>
                  <pic:spPr>
                    <a:xfrm>
                      <a:off x="0" y="0"/>
                      <a:ext cx="5701824" cy="5338188"/>
                    </a:xfrm>
                    <a:prstGeom prst="rect">
                      <a:avLst/>
                    </a:prstGeom>
                    <a:noFill/>
                    <a:ln w="9525">
                      <a:noFill/>
                      <a:miter lim="800000"/>
                      <a:headEnd/>
                      <a:tailEnd/>
                    </a:ln>
                  </pic:spPr>
                </pic:pic>
              </a:graphicData>
            </a:graphic>
          </wp:inline>
        </w:drawing>
      </w:r>
    </w:p>
    <w:p>
      <w:pPr>
        <w:pStyle w:val="5"/>
        <w:spacing w:before="0" w:beforeAutospacing="0" w:after="20" w:afterAutospacing="0"/>
        <w:ind w:left="-284" w:leftChars="-129"/>
        <w:rPr>
          <w:rFonts w:ascii="方正仿宋简体" w:hAnsi="微软雅黑" w:eastAsia="方正仿宋简体"/>
          <w:color w:val="00000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宋体"/>
    <w:panose1 w:val="00000000000000000000"/>
    <w:charset w:val="86"/>
    <w:family w:val="roman"/>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rsids>
    <w:rsidRoot w:val="00C00D53"/>
    <w:rsid w:val="00006BFC"/>
    <w:rsid w:val="00011A4B"/>
    <w:rsid w:val="00043DE3"/>
    <w:rsid w:val="000465F7"/>
    <w:rsid w:val="00046697"/>
    <w:rsid w:val="000468C7"/>
    <w:rsid w:val="000A389F"/>
    <w:rsid w:val="000B3791"/>
    <w:rsid w:val="000E0B00"/>
    <w:rsid w:val="000E74D2"/>
    <w:rsid w:val="0015764A"/>
    <w:rsid w:val="00161166"/>
    <w:rsid w:val="00185FA7"/>
    <w:rsid w:val="001D5A01"/>
    <w:rsid w:val="001F63CA"/>
    <w:rsid w:val="001F6D7D"/>
    <w:rsid w:val="0020125E"/>
    <w:rsid w:val="00205977"/>
    <w:rsid w:val="0021370E"/>
    <w:rsid w:val="00270939"/>
    <w:rsid w:val="00283559"/>
    <w:rsid w:val="00286118"/>
    <w:rsid w:val="00321D54"/>
    <w:rsid w:val="0037084F"/>
    <w:rsid w:val="003822B6"/>
    <w:rsid w:val="003A2023"/>
    <w:rsid w:val="003F483B"/>
    <w:rsid w:val="004702A8"/>
    <w:rsid w:val="00483C68"/>
    <w:rsid w:val="004945EC"/>
    <w:rsid w:val="004A547F"/>
    <w:rsid w:val="004C4447"/>
    <w:rsid w:val="004E7B39"/>
    <w:rsid w:val="0051241B"/>
    <w:rsid w:val="005243F2"/>
    <w:rsid w:val="0053386D"/>
    <w:rsid w:val="00563F88"/>
    <w:rsid w:val="00565812"/>
    <w:rsid w:val="00581BBC"/>
    <w:rsid w:val="00587939"/>
    <w:rsid w:val="005B77D9"/>
    <w:rsid w:val="005C42AB"/>
    <w:rsid w:val="005C6C99"/>
    <w:rsid w:val="005C6D51"/>
    <w:rsid w:val="00617106"/>
    <w:rsid w:val="006474CD"/>
    <w:rsid w:val="00656C65"/>
    <w:rsid w:val="00667EE2"/>
    <w:rsid w:val="00690363"/>
    <w:rsid w:val="006E47F9"/>
    <w:rsid w:val="00701495"/>
    <w:rsid w:val="007073BB"/>
    <w:rsid w:val="00714A6A"/>
    <w:rsid w:val="00731E8C"/>
    <w:rsid w:val="00757F2E"/>
    <w:rsid w:val="007733CF"/>
    <w:rsid w:val="007C35DD"/>
    <w:rsid w:val="007E3067"/>
    <w:rsid w:val="00802110"/>
    <w:rsid w:val="0084357B"/>
    <w:rsid w:val="00846D65"/>
    <w:rsid w:val="00874D19"/>
    <w:rsid w:val="00891B69"/>
    <w:rsid w:val="008B2BB1"/>
    <w:rsid w:val="00924986"/>
    <w:rsid w:val="00937552"/>
    <w:rsid w:val="00970020"/>
    <w:rsid w:val="00973636"/>
    <w:rsid w:val="00994EC9"/>
    <w:rsid w:val="009A1E01"/>
    <w:rsid w:val="009A3DCF"/>
    <w:rsid w:val="009A4016"/>
    <w:rsid w:val="009A7B22"/>
    <w:rsid w:val="009D67C8"/>
    <w:rsid w:val="009F6894"/>
    <w:rsid w:val="00A20DB5"/>
    <w:rsid w:val="00A5174B"/>
    <w:rsid w:val="00A941F7"/>
    <w:rsid w:val="00AE1505"/>
    <w:rsid w:val="00AF52BA"/>
    <w:rsid w:val="00B64A09"/>
    <w:rsid w:val="00B8586C"/>
    <w:rsid w:val="00B9495B"/>
    <w:rsid w:val="00BC26EB"/>
    <w:rsid w:val="00BC495A"/>
    <w:rsid w:val="00BC618C"/>
    <w:rsid w:val="00C00D53"/>
    <w:rsid w:val="00C04696"/>
    <w:rsid w:val="00C565F9"/>
    <w:rsid w:val="00C77CA9"/>
    <w:rsid w:val="00C82947"/>
    <w:rsid w:val="00C90045"/>
    <w:rsid w:val="00CE2D0F"/>
    <w:rsid w:val="00CF024F"/>
    <w:rsid w:val="00D651F9"/>
    <w:rsid w:val="00DF23A5"/>
    <w:rsid w:val="00E17D4A"/>
    <w:rsid w:val="00E214B8"/>
    <w:rsid w:val="00E34E65"/>
    <w:rsid w:val="00E411C7"/>
    <w:rsid w:val="00E44F80"/>
    <w:rsid w:val="00EA3E92"/>
    <w:rsid w:val="00EA71A0"/>
    <w:rsid w:val="00ED122A"/>
    <w:rsid w:val="00EE0737"/>
    <w:rsid w:val="00EE3F79"/>
    <w:rsid w:val="00F16865"/>
    <w:rsid w:val="00F56AD8"/>
    <w:rsid w:val="00FD4395"/>
    <w:rsid w:val="00FD7120"/>
    <w:rsid w:val="00FF23DC"/>
    <w:rsid w:val="1E8038E9"/>
    <w:rsid w:val="60185B54"/>
    <w:rsid w:val="6DA41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kern w:val="0"/>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after="0"/>
    </w:pPr>
    <w:rPr>
      <w:sz w:val="18"/>
      <w:szCs w:val="18"/>
    </w:rPr>
  </w:style>
  <w:style w:type="paragraph" w:styleId="3">
    <w:name w:val="footer"/>
    <w:basedOn w:val="1"/>
    <w:link w:val="10"/>
    <w:unhideWhenUsed/>
    <w:qFormat/>
    <w:uiPriority w:val="99"/>
    <w:pPr>
      <w:tabs>
        <w:tab w:val="center" w:pos="4153"/>
        <w:tab w:val="right" w:pos="8306"/>
      </w:tabs>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character" w:customStyle="1" w:styleId="8">
    <w:name w:val="批注框文本 Char"/>
    <w:basedOn w:val="7"/>
    <w:link w:val="2"/>
    <w:semiHidden/>
    <w:uiPriority w:val="99"/>
    <w:rPr>
      <w:rFonts w:ascii="Tahoma" w:hAnsi="Tahoma" w:eastAsia="微软雅黑"/>
      <w:kern w:val="0"/>
      <w:sz w:val="18"/>
      <w:szCs w:val="18"/>
    </w:rPr>
  </w:style>
  <w:style w:type="character" w:customStyle="1" w:styleId="9">
    <w:name w:val="页眉 Char"/>
    <w:basedOn w:val="7"/>
    <w:link w:val="4"/>
    <w:qFormat/>
    <w:uiPriority w:val="99"/>
    <w:rPr>
      <w:rFonts w:ascii="Tahoma" w:hAnsi="Tahoma" w:eastAsia="微软雅黑"/>
      <w:kern w:val="0"/>
      <w:sz w:val="18"/>
      <w:szCs w:val="18"/>
    </w:rPr>
  </w:style>
  <w:style w:type="character" w:customStyle="1" w:styleId="10">
    <w:name w:val="页脚 Char"/>
    <w:basedOn w:val="7"/>
    <w:link w:val="3"/>
    <w:qFormat/>
    <w:uiPriority w:val="99"/>
    <w:rPr>
      <w:rFonts w:ascii="Tahoma" w:hAnsi="Tahoma" w:eastAsia="微软雅黑"/>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313</Words>
  <Characters>1790</Characters>
  <Lines>14</Lines>
  <Paragraphs>4</Paragraphs>
  <TotalTime>1494</TotalTime>
  <ScaleCrop>false</ScaleCrop>
  <LinksUpToDate>false</LinksUpToDate>
  <CharactersWithSpaces>2099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2020-12-23T02:25:00Z</dcterms:created>
  <dc:creator>China</dc:creator>
  <cp:lastModifiedBy>user</cp:lastModifiedBy>
  <cp:lastPrinted>2021-01-29T08:38:00Z</cp:lastPrinted>
  <dcterms:modified xsi:type="dcterms:W3CDTF">2023-08-09T04:03:58Z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