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jc w:val="right"/>
        <w:rPr>
          <w:rFonts w:asci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第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36  </w:t>
      </w:r>
      <w:r>
        <w:rPr>
          <w:rFonts w:hint="eastAsia" w:ascii="宋体" w:hAnsi="宋体"/>
          <w:sz w:val="32"/>
          <w:szCs w:val="32"/>
        </w:rPr>
        <w:t>号</w:t>
      </w:r>
    </w:p>
    <w:p>
      <w:pPr>
        <w:jc w:val="center"/>
        <w:rPr>
          <w:rFonts w:ascii="小标宋" w:hAnsi="黑体" w:eastAsia="小标宋"/>
          <w:sz w:val="44"/>
          <w:szCs w:val="44"/>
        </w:rPr>
      </w:pPr>
      <w:r>
        <w:rPr>
          <w:rFonts w:hint="eastAsia" w:ascii="小标宋" w:hAnsi="黑体" w:eastAsia="小标宋"/>
          <w:sz w:val="44"/>
          <w:szCs w:val="44"/>
        </w:rPr>
        <w:t>番禺区政协十四届</w:t>
      </w:r>
      <w:r>
        <w:rPr>
          <w:rFonts w:hint="eastAsia" w:ascii="小标宋" w:hAnsi="黑体" w:eastAsia="小标宋"/>
          <w:sz w:val="44"/>
          <w:szCs w:val="44"/>
          <w:lang w:val="en-US" w:eastAsia="zh-CN"/>
        </w:rPr>
        <w:t>七</w:t>
      </w:r>
      <w:r>
        <w:rPr>
          <w:rFonts w:hint="eastAsia" w:ascii="小标宋" w:hAnsi="黑体" w:eastAsia="小标宋"/>
          <w:sz w:val="44"/>
          <w:szCs w:val="44"/>
        </w:rPr>
        <w:t>次会议提案</w:t>
      </w: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3260"/>
        <w:gridCol w:w="1276"/>
        <w:gridCol w:w="851"/>
        <w:gridCol w:w="11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题目</w:t>
            </w:r>
          </w:p>
        </w:tc>
        <w:tc>
          <w:tcPr>
            <w:tcW w:w="6571" w:type="dxa"/>
            <w:gridSpan w:val="4"/>
          </w:tcPr>
          <w:p>
            <w:pPr>
              <w:spacing w:line="360" w:lineRule="auto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关于借鉴我区老旧小区加装电梯的成功经验，开展老旧小区停车设施配建试点的建议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提案者</w:t>
            </w:r>
          </w:p>
        </w:tc>
        <w:tc>
          <w:tcPr>
            <w:tcW w:w="3260" w:type="dxa"/>
          </w:tcPr>
          <w:p>
            <w:pPr>
              <w:spacing w:line="68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曾媛</w:t>
            </w:r>
          </w:p>
        </w:tc>
        <w:tc>
          <w:tcPr>
            <w:tcW w:w="1276" w:type="dxa"/>
          </w:tcPr>
          <w:p>
            <w:pPr>
              <w:spacing w:line="6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联系人</w:t>
            </w:r>
          </w:p>
        </w:tc>
        <w:tc>
          <w:tcPr>
            <w:tcW w:w="2035" w:type="dxa"/>
            <w:gridSpan w:val="2"/>
          </w:tcPr>
          <w:p>
            <w:pPr>
              <w:spacing w:line="680" w:lineRule="exact"/>
              <w:rPr>
                <w:rFonts w:ascii="叶根友毛笔行书2.0版" w:hAnsi="宋体" w:eastAsia="叶根友毛笔行书2.0版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曾媛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工作单位</w:t>
            </w:r>
          </w:p>
        </w:tc>
        <w:tc>
          <w:tcPr>
            <w:tcW w:w="3260" w:type="dxa"/>
          </w:tcPr>
          <w:p>
            <w:pPr>
              <w:spacing w:line="6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开源国际建筑设计院（广州）有限公司</w:t>
            </w:r>
          </w:p>
        </w:tc>
        <w:tc>
          <w:tcPr>
            <w:tcW w:w="1276" w:type="dxa"/>
          </w:tcPr>
          <w:p>
            <w:pPr>
              <w:spacing w:line="6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职务</w:t>
            </w:r>
          </w:p>
        </w:tc>
        <w:tc>
          <w:tcPr>
            <w:tcW w:w="2035" w:type="dxa"/>
            <w:gridSpan w:val="2"/>
          </w:tcPr>
          <w:p>
            <w:pPr>
              <w:spacing w:line="6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副院长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手机号码</w:t>
            </w:r>
          </w:p>
        </w:tc>
        <w:tc>
          <w:tcPr>
            <w:tcW w:w="3260" w:type="dxa"/>
          </w:tcPr>
          <w:p>
            <w:pPr>
              <w:spacing w:line="68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  <w:tc>
          <w:tcPr>
            <w:tcW w:w="1276" w:type="dxa"/>
          </w:tcPr>
          <w:p>
            <w:pPr>
              <w:spacing w:line="680" w:lineRule="exac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电话</w:t>
            </w:r>
          </w:p>
        </w:tc>
        <w:tc>
          <w:tcPr>
            <w:tcW w:w="2035" w:type="dxa"/>
            <w:gridSpan w:val="2"/>
          </w:tcPr>
          <w:p>
            <w:pPr>
              <w:spacing w:line="680" w:lineRule="exact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通讯地址</w:t>
            </w:r>
          </w:p>
        </w:tc>
        <w:tc>
          <w:tcPr>
            <w:tcW w:w="4536" w:type="dxa"/>
            <w:gridSpan w:val="2"/>
          </w:tcPr>
          <w:p>
            <w:pPr>
              <w:spacing w:line="680" w:lineRule="exact"/>
              <w:rPr>
                <w:rFonts w:ascii="仿宋_GB2312" w:hAnsi="宋体" w:eastAsia="仿宋_GB2312"/>
                <w:spacing w:val="-16"/>
                <w:sz w:val="28"/>
                <w:szCs w:val="28"/>
              </w:rPr>
            </w:pPr>
          </w:p>
        </w:tc>
        <w:tc>
          <w:tcPr>
            <w:tcW w:w="851" w:type="dxa"/>
          </w:tcPr>
          <w:p>
            <w:pPr>
              <w:spacing w:line="680" w:lineRule="exact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邮编</w:t>
            </w:r>
          </w:p>
        </w:tc>
        <w:tc>
          <w:tcPr>
            <w:tcW w:w="1184" w:type="dxa"/>
          </w:tcPr>
          <w:p>
            <w:pPr>
              <w:spacing w:line="680" w:lineRule="exact"/>
              <w:rPr>
                <w:rFonts w:ascii="仿宋_GB2312" w:hAnsi="宋体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联名提案人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pacing w:val="-1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（如</w:t>
            </w:r>
            <w:r>
              <w:rPr>
                <w:rFonts w:hint="eastAsia" w:ascii="仿宋_GB2312" w:hAnsi="宋体" w:eastAsia="仿宋_GB2312"/>
                <w:spacing w:val="-14"/>
                <w:sz w:val="28"/>
                <w:szCs w:val="28"/>
              </w:rPr>
              <w:t>人数较多，可另附于文后</w:t>
            </w:r>
            <w:r>
              <w:rPr>
                <w:rFonts w:hint="eastAsia" w:ascii="仿宋_GB2312" w:hAnsi="宋体" w:eastAsia="仿宋_GB2312"/>
                <w:spacing w:val="-14"/>
                <w:sz w:val="32"/>
                <w:szCs w:val="32"/>
              </w:rPr>
              <w:t>）</w:t>
            </w:r>
          </w:p>
        </w:tc>
        <w:tc>
          <w:tcPr>
            <w:tcW w:w="6571" w:type="dxa"/>
            <w:gridSpan w:val="4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</w:tcPr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提案委员会</w:t>
            </w:r>
          </w:p>
          <w:p>
            <w:pPr>
              <w:spacing w:line="680" w:lineRule="exact"/>
              <w:jc w:val="center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审查意见</w:t>
            </w:r>
          </w:p>
        </w:tc>
        <w:tc>
          <w:tcPr>
            <w:tcW w:w="6571" w:type="dxa"/>
            <w:gridSpan w:val="4"/>
          </w:tcPr>
          <w:p>
            <w:pPr>
              <w:spacing w:line="680" w:lineRule="exact"/>
              <w:rPr>
                <w:rFonts w:ascii="仿宋_GB2312" w:hAnsi="宋体" w:eastAsia="仿宋_GB2312"/>
                <w:sz w:val="32"/>
                <w:szCs w:val="32"/>
              </w:rPr>
            </w:pPr>
          </w:p>
        </w:tc>
      </w:tr>
    </w:tbl>
    <w:p>
      <w:pPr>
        <w:spacing w:line="68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根据实际情况在○内打勾确认：</w:t>
      </w:r>
    </w:p>
    <w:p>
      <w:pPr>
        <w:spacing w:line="440" w:lineRule="exact"/>
        <w:rPr>
          <w:rFonts w:ascii="宋体" w:hAns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是否同意公开：</w:t>
      </w:r>
    </w:p>
    <w:p>
      <w:pPr>
        <w:spacing w:line="440" w:lineRule="exact"/>
        <w:rPr>
          <w:rFonts w:ascii="宋体"/>
          <w:sz w:val="30"/>
          <w:szCs w:val="30"/>
        </w:rPr>
      </w:pPr>
      <w:r>
        <w:rPr>
          <w:rFonts w:ascii="黑体" w:hAnsi="黑体" w:eastAsia="黑体"/>
          <w:sz w:val="32"/>
          <w:szCs w:val="32"/>
        </w:rPr>
        <w:fldChar w:fldCharType="begin"/>
      </w:r>
      <w:r>
        <w:rPr>
          <w:rFonts w:hint="eastAsia" w:ascii="黑体" w:hAnsi="黑体" w:eastAsia="黑体"/>
          <w:sz w:val="32"/>
          <w:szCs w:val="32"/>
        </w:rPr>
        <w:instrText xml:space="preserve">eq \o\ac(○,</w:instrText>
      </w:r>
      <w:r>
        <w:rPr>
          <w:rFonts w:hint="eastAsia" w:ascii="黑体" w:hAnsi="黑体" w:eastAsia="黑体"/>
          <w:position w:val="2"/>
          <w:sz w:val="22"/>
          <w:szCs w:val="32"/>
        </w:rPr>
        <w:instrText xml:space="preserve">√</w:instrText>
      </w:r>
      <w:r>
        <w:rPr>
          <w:rFonts w:hint="eastAsia" w:ascii="黑体" w:hAnsi="黑体" w:eastAsia="黑体"/>
          <w:sz w:val="32"/>
          <w:szCs w:val="32"/>
        </w:rPr>
        <w:instrText xml:space="preserve">)</w:instrText>
      </w:r>
      <w:r>
        <w:rPr>
          <w:rFonts w:ascii="黑体" w:hAnsi="黑体" w:eastAsia="黑体"/>
          <w:sz w:val="32"/>
          <w:szCs w:val="32"/>
        </w:rPr>
        <w:fldChar w:fldCharType="end"/>
      </w:r>
      <w:r>
        <w:rPr>
          <w:rFonts w:hint="eastAsia" w:ascii="宋体" w:hAnsi="宋体"/>
          <w:sz w:val="30"/>
          <w:szCs w:val="30"/>
        </w:rPr>
        <w:t>是○否</w:t>
      </w:r>
    </w:p>
    <w:p>
      <w:pPr>
        <w:spacing w:line="440" w:lineRule="exact"/>
        <w:rPr>
          <w:rFonts w:ascii="宋体"/>
          <w:b/>
          <w:sz w:val="30"/>
          <w:szCs w:val="30"/>
        </w:rPr>
      </w:pPr>
      <w:r>
        <w:rPr>
          <w:rFonts w:hint="eastAsia" w:ascii="宋体" w:hAnsi="宋体"/>
          <w:b/>
          <w:sz w:val="30"/>
          <w:szCs w:val="30"/>
        </w:rPr>
        <w:t>建议办理单位：</w:t>
      </w:r>
    </w:p>
    <w:p>
      <w:pPr>
        <w:spacing w:line="440" w:lineRule="exact"/>
        <w:rPr>
          <w:rFonts w:ascii="宋体"/>
          <w:sz w:val="30"/>
          <w:szCs w:val="30"/>
        </w:rPr>
      </w:pPr>
      <w:r>
        <w:rPr>
          <w:rFonts w:ascii="宋体" w:hAnsi="宋体"/>
          <w:sz w:val="30"/>
          <w:szCs w:val="30"/>
        </w:rPr>
        <w:t>1.</w:t>
      </w:r>
      <w:r>
        <w:rPr>
          <w:rFonts w:hint="eastAsia" w:ascii="宋体" w:hAnsi="宋体"/>
          <w:sz w:val="30"/>
          <w:szCs w:val="30"/>
        </w:rPr>
        <w:t xml:space="preserve"> 区规划局</w:t>
      </w:r>
    </w:p>
    <w:p>
      <w:pPr>
        <w:spacing w:line="440" w:lineRule="exact"/>
        <w:rPr>
          <w:rFonts w:ascii="宋体" w:hAnsi="宋体"/>
          <w:sz w:val="30"/>
          <w:szCs w:val="30"/>
        </w:rPr>
      </w:pPr>
      <w:r>
        <w:rPr>
          <w:rFonts w:ascii="宋体" w:hAnsi="宋体"/>
          <w:sz w:val="30"/>
          <w:szCs w:val="30"/>
        </w:rPr>
        <w:t>2.</w:t>
      </w:r>
      <w:r>
        <w:rPr>
          <w:rFonts w:hint="eastAsia" w:ascii="宋体" w:hAnsi="宋体"/>
          <w:sz w:val="30"/>
          <w:szCs w:val="30"/>
        </w:rPr>
        <w:t xml:space="preserve"> 番禺区科技局</w:t>
      </w:r>
    </w:p>
    <w:p>
      <w:pPr>
        <w:spacing w:line="440" w:lineRule="exact"/>
        <w:rPr>
          <w:rFonts w:ascii="宋体"/>
          <w:sz w:val="30"/>
          <w:szCs w:val="30"/>
        </w:rPr>
      </w:pPr>
      <w:r>
        <w:rPr>
          <w:rFonts w:hint="eastAsia" w:ascii="宋体" w:hAnsi="宋体"/>
          <w:sz w:val="30"/>
          <w:szCs w:val="30"/>
        </w:rPr>
        <w:t>3. 街道、社区</w:t>
      </w:r>
    </w:p>
    <w:p>
      <w:pPr>
        <w:spacing w:line="360" w:lineRule="auto"/>
        <w:rPr>
          <w:rFonts w:ascii="黑体" w:hAnsi="黑体" w:eastAsia="黑体"/>
          <w:b/>
          <w:sz w:val="30"/>
          <w:szCs w:val="30"/>
        </w:rPr>
      </w:pPr>
      <w:r>
        <w:rPr>
          <w:rFonts w:hint="eastAsia" w:ascii="黑体" w:hAnsi="黑体" w:eastAsia="黑体"/>
          <w:b/>
          <w:sz w:val="30"/>
          <w:szCs w:val="30"/>
        </w:rPr>
        <w:t>理由：</w:t>
      </w:r>
    </w:p>
    <w:p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一、老旧小区停车难题愈加突出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公安部统计数据显示，截至2019年底，全国机动车保有量达3.48亿辆。其中，私家车保有量首次突破2亿辆，达2.07亿辆。广东省共拥有私人汽车2037.65万辆，同比2018年增长10%左右；按广东省当年常住人口1.15亿计算，即大约5个人就拥有一辆私人汽车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机动车数量的大幅增长也带来了一个社会性问题，那就是停车难，尤其是像广州市番禺区老旧小区的停车问题，更是成了“难中之难”。一面是仍在快速增长的汽车市场，一面是巨大的停车位缺口，解决停车难问题迫在眉睫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我区的老旧小区，基本上都是上世纪九十年代至2000年之前兴建的住宅小区，当时对小区是没有停车位配建指标或者配建指标非常低。随着时代的变迁和人们生活水平的提升，私家车拥有量几乎达到了户均1辆的比例，所有的老旧小区根本达不到符合需求的停车位配置标准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现在老旧小区的停车位基本上都是小区自行划设。由于空间有限、没有统一规划等因素，很多老旧小区的空间被越来越多的私家车所占领，导致小区内原有的道路、绿化、公共空间等用地被小汽车占据，消防通道经常堵塞，小区居住品质大大下降，还容易出现安全事故。</w:t>
      </w:r>
    </w:p>
    <w:p>
      <w:pPr>
        <w:spacing w:line="360" w:lineRule="auto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二、政策支持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针对这种情况，缓解老旧小区停车难问题甚至已经上升到国家政策层面。今年，中央政治局会议强调，积极扩大有效投资，实施老旧小区改造。国务院常务会议对老旧小区改造政策措施进行了细化，提出了目标任务，明确了地方政府专项债资金投向增加城镇老旧小区改造，要求今年各地计划改造城镇老旧小区3.9万个，涉及居民近700万户。其中，为老旧小区配建停车设施成为老旧小区改造的一个重要内容。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由于种种历史原因，老旧小区基本上都存在“三高、四低、五多”的特点。“三高”是指居民老龄化程度高、房屋安全风险高、居民诉求率高；“四低”是指居民收入低、物业费标准低、物业费收缴率低、居民满意度低；“五多”则是指这些老旧小区的产权单位多、物业管理单位多、房屋类型多、历史遗留问题多、小区出入口多。这些都成为摆在解决老旧小区停车难问题面前的障碍。往往解决一个问题要涉及几个社区和院落，以及众多产权单位、物业公司，还有交通、城管、规划、资金等方方面面。</w:t>
      </w:r>
    </w:p>
    <w:p>
      <w:pPr>
        <w:spacing w:line="360" w:lineRule="auto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三、目前各地采用的解决办法</w:t>
      </w:r>
    </w:p>
    <w:p>
      <w:pPr>
        <w:spacing w:line="360" w:lineRule="auto"/>
        <w:ind w:firstLine="480" w:firstLineChars="200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针对这种情况，各地在推进解决老旧小区停车难问题时，也都在不断探索新的方式和路径。总结目前各地缓解老旧小区停车难问题的方式和途径主要有三种</w:t>
      </w:r>
      <w:r>
        <w:rPr>
          <w:rFonts w:hint="eastAsia" w:asciiTheme="minorEastAsia" w:hAnsiTheme="minorEastAsia" w:cstheme="minorEastAsia"/>
          <w:sz w:val="24"/>
        </w:rPr>
        <w:t>：</w:t>
      </w:r>
    </w:p>
    <w:p>
      <w:pPr>
        <w:numPr>
          <w:ilvl w:val="0"/>
          <w:numId w:val="1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首先是整体规划，充分利用空余空间，新增停车场地。老旧小区年代久，布局规划上相对滞后，在国家法律法规允许的情况下，通过对道路、绿化等空间进行重新规划，将停车空间“挤”出来。利用较宽的道路、小微地块、边角地，开辟新的停车泊位，在有限的空间统筹协调好停车、公共绿地、交通三者的关系。</w:t>
      </w:r>
    </w:p>
    <w:p>
      <w:pPr>
        <w:numPr>
          <w:ilvl w:val="0"/>
          <w:numId w:val="1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其次是通过引入投资者，建设新型停车设施。很多老旧小区本身可开发的空间余地不大，一些地方采取引入投资者，或是企业、物业和业主联合的方式，建造立体车库等停车设施，为老旧小区增加停车空间。同时，根据《物权法》规范小区停车位的收费标准，做到收费来之于民，用之于民，使投资者与全体业主都有所收益。近年来，北京、深圳、苏州等地都在探索老旧小区建设立体车库等方式。</w:t>
      </w:r>
    </w:p>
    <w:p>
      <w:pPr>
        <w:numPr>
          <w:ilvl w:val="0"/>
          <w:numId w:val="1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再有就是整合周边资源，采取错时停车等方式。一些地方通过整合老旧小区周边公共区域，采取周边区域设立“潮汐车位”等措施增加停车位。一些企业、商场、办公楼等的停车位采用错时停车的方式向周边居民开放，合理利用时差，缓解停车难问题。</w:t>
      </w:r>
    </w:p>
    <w:p>
      <w:pPr>
        <w:pStyle w:val="4"/>
        <w:shd w:val="clear" w:color="auto" w:fill="FFFFFF"/>
        <w:spacing w:beforeAutospacing="0" w:afterAutospacing="0" w:line="420" w:lineRule="atLeast"/>
        <w:rPr>
          <w:rFonts w:ascii="黑体" w:hAnsi="黑体" w:eastAsia="黑体" w:cs="Arial"/>
          <w:b/>
          <w:color w:val="595959"/>
        </w:rPr>
      </w:pPr>
    </w:p>
    <w:p>
      <w:pPr>
        <w:pStyle w:val="4"/>
        <w:shd w:val="clear" w:color="auto" w:fill="FFFFFF"/>
        <w:spacing w:beforeAutospacing="0" w:afterAutospacing="0" w:line="420" w:lineRule="atLeast"/>
        <w:rPr>
          <w:rFonts w:ascii="黑体" w:hAnsi="黑体" w:eastAsia="黑体" w:cs="Arial"/>
          <w:b/>
          <w:color w:val="595959"/>
          <w:sz w:val="30"/>
          <w:szCs w:val="30"/>
        </w:rPr>
      </w:pPr>
      <w:r>
        <w:rPr>
          <w:rFonts w:hint="eastAsia" w:ascii="黑体" w:hAnsi="黑体" w:eastAsia="黑体" w:cs="Arial"/>
          <w:b/>
          <w:color w:val="595959"/>
          <w:sz w:val="30"/>
          <w:szCs w:val="30"/>
        </w:rPr>
        <w:t>办法：</w:t>
      </w:r>
    </w:p>
    <w:p>
      <w:pPr>
        <w:numPr>
          <w:ilvl w:val="0"/>
          <w:numId w:val="2"/>
        </w:numPr>
        <w:spacing w:line="360" w:lineRule="auto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探索我区解决老旧小区停车难问题的对策</w:t>
      </w:r>
    </w:p>
    <w:p>
      <w:pPr>
        <w:numPr>
          <w:ilvl w:val="0"/>
          <w:numId w:val="3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我区在解决老旧小区加建电梯方面，取得了老百姓比较满意的结果，其成功之处在于：</w:t>
      </w:r>
    </w:p>
    <w:p>
      <w:pPr>
        <w:numPr>
          <w:ilvl w:val="0"/>
          <w:numId w:val="4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首先对老旧小区进行提升改造规划，报规划局、建设局等主管部门，经过公示、征询意见、公证会等程序，取得合法加建手续；</w:t>
      </w:r>
    </w:p>
    <w:p>
      <w:pPr>
        <w:numPr>
          <w:ilvl w:val="0"/>
          <w:numId w:val="4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单栋住宅楼业主取得2/3业主的同意后，办理该栋楼加建电梯的建设手续；</w:t>
      </w:r>
    </w:p>
    <w:p>
      <w:pPr>
        <w:numPr>
          <w:ilvl w:val="0"/>
          <w:numId w:val="4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业主自行委托有资质的施工单位进行建设；</w:t>
      </w:r>
    </w:p>
    <w:p>
      <w:pPr>
        <w:numPr>
          <w:ilvl w:val="0"/>
          <w:numId w:val="4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业主自筹资金进行建设；</w:t>
      </w:r>
    </w:p>
    <w:p>
      <w:pPr>
        <w:numPr>
          <w:ilvl w:val="0"/>
          <w:numId w:val="4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政府给予建设后的资金补助，补助金额由政府权衡确定：A万元/单元电梯；</w:t>
      </w:r>
    </w:p>
    <w:p>
      <w:pPr>
        <w:numPr>
          <w:ilvl w:val="0"/>
          <w:numId w:val="3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结合加建电梯的成功经验，在部分条件较好的老旧小区开展停车场库建设的试点工作，具体如下：</w:t>
      </w:r>
    </w:p>
    <w:p>
      <w:pPr>
        <w:numPr>
          <w:ilvl w:val="0"/>
          <w:numId w:val="5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针对加建停车场库事宜，对老旧小区进行提升改造规划，报规划局、建设局等主管部门，经过公示、征询意见、公证会等程序，取得合法加建手续；</w:t>
      </w:r>
    </w:p>
    <w:p>
      <w:pPr>
        <w:numPr>
          <w:ilvl w:val="0"/>
          <w:numId w:val="5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通过对道路、绿化等空间进行重新</w:t>
      </w:r>
      <w:r>
        <w:rPr>
          <w:rFonts w:hint="eastAsia" w:asciiTheme="minorEastAsia" w:hAnsiTheme="minorEastAsia" w:cstheme="minorEastAsia"/>
          <w:sz w:val="24"/>
        </w:rPr>
        <w:t>梳理和</w:t>
      </w:r>
      <w:r>
        <w:rPr>
          <w:rFonts w:hint="eastAsia" w:asciiTheme="minorEastAsia" w:hAnsiTheme="minorEastAsia" w:eastAsiaTheme="minorEastAsia" w:cstheme="minorEastAsia"/>
          <w:sz w:val="24"/>
        </w:rPr>
        <w:t>规划，将停车空间“挤”出来。利用较宽的道路</w:t>
      </w:r>
      <w:r>
        <w:rPr>
          <w:rFonts w:hint="eastAsia" w:asciiTheme="minorEastAsia" w:hAnsiTheme="minorEastAsia" w:cstheme="minorEastAsia"/>
          <w:sz w:val="24"/>
        </w:rPr>
        <w:t>（不影响消防车道通行和满足消防扑救面宽度要求）</w:t>
      </w:r>
      <w:r>
        <w:rPr>
          <w:rFonts w:hint="eastAsia" w:asciiTheme="minorEastAsia" w:hAnsiTheme="minorEastAsia" w:eastAsiaTheme="minorEastAsia" w:cstheme="minorEastAsia"/>
          <w:sz w:val="24"/>
        </w:rPr>
        <w:t>、小微地块、边角地</w:t>
      </w:r>
      <w:r>
        <w:rPr>
          <w:rFonts w:hint="eastAsia" w:asciiTheme="minorEastAsia" w:hAnsiTheme="minorEastAsia" w:cstheme="minorEastAsia"/>
          <w:sz w:val="24"/>
        </w:rPr>
        <w:t>等</w:t>
      </w:r>
      <w:r>
        <w:rPr>
          <w:rFonts w:hint="eastAsia" w:asciiTheme="minorEastAsia" w:hAnsiTheme="minorEastAsia" w:eastAsiaTheme="minorEastAsia" w:cstheme="minorEastAsia"/>
          <w:sz w:val="24"/>
        </w:rPr>
        <w:t>，开辟新的停车泊位</w:t>
      </w:r>
      <w:r>
        <w:rPr>
          <w:rFonts w:hint="eastAsia" w:asciiTheme="minorEastAsia" w:hAnsiTheme="minorEastAsia" w:cstheme="minorEastAsia"/>
          <w:sz w:val="24"/>
        </w:rPr>
        <w:t>；</w:t>
      </w:r>
    </w:p>
    <w:p>
      <w:pPr>
        <w:numPr>
          <w:ilvl w:val="0"/>
          <w:numId w:val="5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采取地面停车结合多层智能化停车库的方式，</w:t>
      </w:r>
      <w:r>
        <w:rPr>
          <w:rFonts w:hint="eastAsia" w:asciiTheme="minorEastAsia" w:hAnsiTheme="minorEastAsia" w:eastAsiaTheme="minorEastAsia" w:cstheme="minorEastAsia"/>
          <w:sz w:val="24"/>
        </w:rPr>
        <w:t>在有限的空间统筹协调好停车、公共绿地、交通三者的关系</w:t>
      </w:r>
      <w:r>
        <w:rPr>
          <w:rFonts w:hint="eastAsia" w:asciiTheme="minorEastAsia" w:hAnsiTheme="minorEastAsia" w:cstheme="minorEastAsia"/>
          <w:sz w:val="24"/>
        </w:rPr>
        <w:t>；</w:t>
      </w:r>
    </w:p>
    <w:p>
      <w:pPr>
        <w:numPr>
          <w:ilvl w:val="0"/>
          <w:numId w:val="5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采取谁投资、谁受益、谁拥有的基本原则；</w:t>
      </w:r>
    </w:p>
    <w:p>
      <w:pPr>
        <w:numPr>
          <w:ilvl w:val="0"/>
          <w:numId w:val="6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地面停车泊位：</w:t>
      </w:r>
    </w:p>
    <w:p>
      <w:pPr>
        <w:numPr>
          <w:ilvl w:val="0"/>
          <w:numId w:val="7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适合建设地面停车泊位的（如道路侧、绿化带、住宅楼前后空地等），建议采取地面停车建设方式；</w:t>
      </w:r>
    </w:p>
    <w:p>
      <w:pPr>
        <w:numPr>
          <w:ilvl w:val="0"/>
          <w:numId w:val="7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如在较宽道路侧设置，在满足消防通道要求和双向会车要求的前提下，采取平行道路设置的方式，以水泥面为主；</w:t>
      </w:r>
    </w:p>
    <w:p>
      <w:pPr>
        <w:numPr>
          <w:ilvl w:val="0"/>
          <w:numId w:val="7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如在公共绿地边或绿化带设置，建议在保留树木的前提下，采取垂直停车或斜向停车的方式，地面采取植草砖铺设的方式；</w:t>
      </w:r>
    </w:p>
    <w:p>
      <w:pPr>
        <w:tabs>
          <w:tab w:val="left" w:pos="420"/>
        </w:tabs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（10）由物业公司和业主委员会组成联合小组，委托专业设计单位统一规划，并统一登记；</w:t>
      </w:r>
    </w:p>
    <w:p>
      <w:pPr>
        <w:tabs>
          <w:tab w:val="left" w:pos="420"/>
        </w:tabs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（11）由联合小组统一委托有资质的施工单位，根据造价预算额，业主统一缴纳建设费用；建设费用由推荐业主进行管理和分阶段支付；</w:t>
      </w:r>
    </w:p>
    <w:p>
      <w:pPr>
        <w:tabs>
          <w:tab w:val="left" w:pos="420"/>
        </w:tabs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（12）由联合小组进行验收；</w:t>
      </w:r>
    </w:p>
    <w:p>
      <w:pPr>
        <w:tabs>
          <w:tab w:val="left" w:pos="420"/>
        </w:tabs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（13）采取就近的原则抽签决定车位分配；如车位占用其他首层住户的前后空间，首层住户拥有优先使用权，其次须征得该业主同意，且宜支付部分补偿费用，补偿费用统一制定标准；</w:t>
      </w:r>
    </w:p>
    <w:p>
      <w:pPr>
        <w:tabs>
          <w:tab w:val="left" w:pos="420"/>
        </w:tabs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（14）业主拥有车位使用权，租户不能拥有车位使用权，需由业主提供给租户使用；业主在搬离本小区前，必须将车位使用权转让给新业主，转让价格必须符合业主委员会制定的转让限价（直接建设费+利息）；</w:t>
      </w:r>
    </w:p>
    <w:p>
      <w:pPr>
        <w:tabs>
          <w:tab w:val="left" w:pos="420"/>
        </w:tabs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（15）业主承担车位维护费用、照明费用、物业管理等运维费用；运维费用需经物业公司、业主委员会、维护单位等三方审核认可；</w:t>
      </w:r>
    </w:p>
    <w:p>
      <w:pPr>
        <w:tabs>
          <w:tab w:val="left" w:pos="420"/>
        </w:tabs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（16）如增设充电桩，则所有费用由该车位使用业主自行支付；</w:t>
      </w:r>
    </w:p>
    <w:p>
      <w:pPr>
        <w:numPr>
          <w:ilvl w:val="0"/>
          <w:numId w:val="8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多层停车库建设：</w:t>
      </w:r>
    </w:p>
    <w:p>
      <w:pPr>
        <w:numPr>
          <w:ilvl w:val="0"/>
          <w:numId w:val="9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在每两栋住宅楼的侧向间距之间，或者住宅山墙面较空旷的场地，或者边角地适合建设的空间等，建设多层停车库；</w:t>
      </w:r>
    </w:p>
    <w:p>
      <w:pPr>
        <w:numPr>
          <w:ilvl w:val="0"/>
          <w:numId w:val="9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根据测算，住宅侧向间距一般</w:t>
      </w:r>
      <w:r>
        <w:rPr>
          <w:rFonts w:hint="eastAsia" w:ascii="宋体" w:hAnsi="宋体" w:cs="宋体"/>
          <w:sz w:val="24"/>
        </w:rPr>
        <w:t>≧</w:t>
      </w:r>
      <w:r>
        <w:rPr>
          <w:rFonts w:hint="eastAsia" w:asciiTheme="minorEastAsia" w:hAnsiTheme="minorEastAsia" w:cstheme="minorEastAsia"/>
          <w:sz w:val="24"/>
        </w:rPr>
        <w:t>6米（消防最小间距），可设置4车位/层（层高2.2米，开间2车位，进深2车位），多层住宅高度约21米（按七层计），可建9层停车库（20米高），可设置36个车位；</w:t>
      </w:r>
    </w:p>
    <w:p>
      <w:pPr>
        <w:numPr>
          <w:ilvl w:val="0"/>
          <w:numId w:val="9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按结构性能分</w:t>
      </w:r>
      <w:r>
        <w:rPr>
          <w:rFonts w:hint="eastAsia" w:asciiTheme="minorEastAsia" w:hAnsiTheme="minorEastAsia" w:cstheme="minorEastAsia"/>
          <w:sz w:val="24"/>
        </w:rPr>
        <w:t>为</w:t>
      </w:r>
      <w:r>
        <w:rPr>
          <w:rFonts w:hint="eastAsia" w:asciiTheme="minorEastAsia" w:hAnsiTheme="minorEastAsia" w:eastAsiaTheme="minorEastAsia" w:cstheme="minorEastAsia"/>
          <w:sz w:val="24"/>
        </w:rPr>
        <w:t>机械式、自走式及半机械式三种</w:t>
      </w:r>
      <w:r>
        <w:rPr>
          <w:rFonts w:hint="eastAsia" w:asciiTheme="minorEastAsia" w:hAnsiTheme="minorEastAsia" w:cstheme="minorEastAsia"/>
          <w:sz w:val="24"/>
        </w:rPr>
        <w:t>；</w:t>
      </w:r>
      <w:r>
        <w:rPr>
          <w:rFonts w:hint="eastAsia" w:asciiTheme="minorEastAsia" w:hAnsiTheme="minorEastAsia" w:eastAsiaTheme="minorEastAsia" w:cstheme="minorEastAsia"/>
          <w:sz w:val="24"/>
        </w:rPr>
        <w:t>按运行机制分</w:t>
      </w:r>
      <w:r>
        <w:rPr>
          <w:rFonts w:hint="eastAsia" w:asciiTheme="minorEastAsia" w:hAnsiTheme="minorEastAsia" w:cstheme="minorEastAsia"/>
          <w:sz w:val="24"/>
        </w:rPr>
        <w:t>为</w:t>
      </w:r>
      <w:r>
        <w:rPr>
          <w:rFonts w:hint="eastAsia" w:asciiTheme="minorEastAsia" w:hAnsiTheme="minorEastAsia" w:eastAsiaTheme="minorEastAsia" w:cstheme="minorEastAsia"/>
          <w:sz w:val="24"/>
        </w:rPr>
        <w:t>升降横移式</w:t>
      </w:r>
      <w:r>
        <w:rPr>
          <w:rFonts w:hint="eastAsia" w:asciiTheme="minorEastAsia" w:hAnsiTheme="minorEastAsia" w:cstheme="minorEastAsia"/>
          <w:sz w:val="24"/>
        </w:rPr>
        <w:t>、</w:t>
      </w:r>
      <w:r>
        <w:rPr>
          <w:rFonts w:hint="eastAsia" w:asciiTheme="minorEastAsia" w:hAnsiTheme="minorEastAsia" w:eastAsiaTheme="minorEastAsia" w:cstheme="minorEastAsia"/>
          <w:sz w:val="24"/>
        </w:rPr>
        <w:t>垂直循环式、巷道堆垛式、垂直升降式、简易升降式等</w:t>
      </w:r>
      <w:r>
        <w:rPr>
          <w:rFonts w:hint="eastAsia" w:asciiTheme="minorEastAsia" w:hAnsiTheme="minorEastAsia" w:cstheme="minorEastAsia"/>
          <w:sz w:val="24"/>
        </w:rPr>
        <w:t>；结合不同情况采取不同的技术；</w:t>
      </w:r>
    </w:p>
    <w:p>
      <w:pPr>
        <w:numPr>
          <w:ilvl w:val="0"/>
          <w:numId w:val="9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据调查，多层停车库的造价约在3万</w:t>
      </w:r>
      <w:r>
        <w:rPr>
          <w:rFonts w:hint="eastAsia" w:ascii="宋体" w:hAnsi="宋体" w:cs="宋体"/>
          <w:sz w:val="24"/>
        </w:rPr>
        <w:t>～</w:t>
      </w:r>
      <w:r>
        <w:rPr>
          <w:rFonts w:hint="eastAsia" w:asciiTheme="minorEastAsia" w:hAnsiTheme="minorEastAsia" w:cstheme="minorEastAsia"/>
          <w:sz w:val="24"/>
        </w:rPr>
        <w:t>5万/车位之间，采取装配式钢框架结构，主体结构均采取防腐、防锈、防火处理，使用年限可达15年以上；</w:t>
      </w:r>
    </w:p>
    <w:p>
      <w:pPr>
        <w:numPr>
          <w:ilvl w:val="0"/>
          <w:numId w:val="9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采取就近的原则抽签决定车位分配，优先由相邻住户的业主投资、建设和拥有。当可建设车位超过相邻住户需求车位时，其他业主可报名参与；当可建设车位满足不了相邻住户需求车位时，可就近参与地面停车位或其它楼段多层停车库的分配；</w:t>
      </w:r>
    </w:p>
    <w:p>
      <w:pPr>
        <w:numPr>
          <w:ilvl w:val="0"/>
          <w:numId w:val="9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由业主委托专业设计单位统一规划，并统一登记；由业主委托有资质的施工单位，根据造价预算额，业主统一缴纳建设费用；建设费用由推荐业主进行管理和分阶段支付；</w:t>
      </w:r>
    </w:p>
    <w:p>
      <w:pPr>
        <w:numPr>
          <w:ilvl w:val="0"/>
          <w:numId w:val="9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由业主自行委托第三方专业机构或监理单位进行验收；</w:t>
      </w:r>
    </w:p>
    <w:p>
      <w:pPr>
        <w:numPr>
          <w:ilvl w:val="0"/>
          <w:numId w:val="9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如车位占用住户的侧向空间，住户拥有优先权，其次须征得该业主同意，且宜支付部分补偿费用，补偿费用统一商定标准；</w:t>
      </w:r>
    </w:p>
    <w:p>
      <w:pPr>
        <w:numPr>
          <w:ilvl w:val="0"/>
          <w:numId w:val="9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业主共同拥有多层停车库的车位使用权，租户不能拥有车位使用权，需由业主提供给租户使用；业主在搬离本小区前，必须将车位使用权转让给新业主，转让价格必须符合业主委员会制定的转让限价（直接建设费+利息）；</w:t>
      </w:r>
    </w:p>
    <w:p>
      <w:pPr>
        <w:numPr>
          <w:ilvl w:val="0"/>
          <w:numId w:val="9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业主承担车位维护费用、照明费用等运维费用；运维费用需经业主、维护单位等共同审核认可；</w:t>
      </w:r>
    </w:p>
    <w:p>
      <w:pPr>
        <w:numPr>
          <w:ilvl w:val="0"/>
          <w:numId w:val="9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如增设充电桩，则所有费用由该车位使用业主自行支付；</w:t>
      </w:r>
    </w:p>
    <w:p>
      <w:pPr>
        <w:numPr>
          <w:ilvl w:val="0"/>
          <w:numId w:val="9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多层停车库需符合相关建筑规范和消防规范，且不能占用消防通道、消防登高面等救援空间；</w:t>
      </w:r>
    </w:p>
    <w:p>
      <w:pPr>
        <w:numPr>
          <w:ilvl w:val="0"/>
          <w:numId w:val="9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需经相邻业主2/3同意。</w:t>
      </w:r>
    </w:p>
    <w:p>
      <w:pPr>
        <w:numPr>
          <w:ilvl w:val="0"/>
          <w:numId w:val="2"/>
        </w:numPr>
        <w:spacing w:line="360" w:lineRule="auto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试点小区建议</w:t>
      </w:r>
    </w:p>
    <w:p>
      <w:pPr>
        <w:numPr>
          <w:ilvl w:val="0"/>
          <w:numId w:val="10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建议选择一两个有条件的小区先行试点。</w:t>
      </w:r>
    </w:p>
    <w:p>
      <w:pPr>
        <w:numPr>
          <w:ilvl w:val="0"/>
          <w:numId w:val="10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通过试点小区的建设，总结经验与教训，形成较为完善的制度、办法和奖励措施，从而向全区推广。</w:t>
      </w:r>
    </w:p>
    <w:p>
      <w:pPr>
        <w:numPr>
          <w:ilvl w:val="0"/>
          <w:numId w:val="10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在奖励方面，经过验收合格后，报相关部门审批；建议地面停车位按照100元/平方面奖励，多层停车库按照3000</w:t>
      </w:r>
      <w:r>
        <w:rPr>
          <w:rFonts w:hint="eastAsia" w:ascii="宋体" w:hAnsi="宋体" w:cs="宋体"/>
          <w:sz w:val="24"/>
        </w:rPr>
        <w:t>～</w:t>
      </w:r>
      <w:r>
        <w:rPr>
          <w:rFonts w:hint="eastAsia" w:asciiTheme="minorEastAsia" w:hAnsiTheme="minorEastAsia" w:cstheme="minorEastAsia"/>
          <w:sz w:val="24"/>
        </w:rPr>
        <w:t>5000元/车位奖励；具体奖励额度由相关部门审核确定。</w:t>
      </w:r>
    </w:p>
    <w:p>
      <w:pPr>
        <w:numPr>
          <w:ilvl w:val="0"/>
          <w:numId w:val="2"/>
        </w:numPr>
        <w:spacing w:line="360" w:lineRule="auto"/>
        <w:ind w:left="0" w:firstLine="0"/>
        <w:rPr>
          <w:rFonts w:asciiTheme="minorEastAsia" w:hAnsi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cstheme="minorEastAsia"/>
          <w:b/>
          <w:bCs/>
          <w:sz w:val="28"/>
          <w:szCs w:val="28"/>
        </w:rPr>
        <w:t>智慧停车与错峰使用</w:t>
      </w:r>
    </w:p>
    <w:p>
      <w:pPr>
        <w:numPr>
          <w:ilvl w:val="0"/>
          <w:numId w:val="11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虽然智慧停车这一科技手段无法从根本上解决老旧小区停车难问题，但却可以缓解周边停车难压力，并为投资业主获取一定的收益。</w:t>
      </w:r>
    </w:p>
    <w:p>
      <w:pPr>
        <w:numPr>
          <w:ilvl w:val="0"/>
          <w:numId w:val="11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智慧停车的优势主要体现在高效、准确、公平以及减少人力。具体到老旧小区停车难问题，主要是利用到智慧停车中的智能收费系统及错时停车功能。</w:t>
      </w:r>
    </w:p>
    <w:p>
      <w:pPr>
        <w:numPr>
          <w:ilvl w:val="0"/>
          <w:numId w:val="11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智慧停车虽然无法增加供给，但可从规范管理和错峰停车上提供技术支持。通过智能收费系统，可实现对车辆按照不同的费率、时段等进行差异化收费，控制车辆进入小区的权限及费用，从而实现车位的高效利用。</w:t>
      </w:r>
    </w:p>
    <w:p>
      <w:pPr>
        <w:numPr>
          <w:ilvl w:val="0"/>
          <w:numId w:val="11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所谓“差异化收费”，是指针对不同性质的车主，收费标准不一样。如对出钱建设的业主，可采用免费的方式；对有在本小区房屋租赁合同的车主，可采用价格稍高一点的包月形式；对并不是每天都有停车需求的车主可采用预储值的方式，同时享受折扣费率；对临停访客，按照周边市价或稍高一些的费率。这样既可过滤掉非刚性需求，也可保障业主的基本利益。</w:t>
      </w:r>
    </w:p>
    <w:p>
      <w:pPr>
        <w:numPr>
          <w:ilvl w:val="0"/>
          <w:numId w:val="11"/>
        </w:numPr>
        <w:spacing w:line="360" w:lineRule="auto"/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在安全和收益方面，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hd w:val="clear" w:color="auto" w:fill="FFFFFF" w:themeFill="background1"/>
        </w:rPr>
        <w:t>一是做好利益分配，错时停车、车位分享等产生的收益要考虑各方的利益；二是做好信息的互通，到小区停车的车辆和车主可通过停车管理系统或是APP提前做好信息的登记和核对，保证进出小区车辆、人员可追溯；三是做好全体业主及业委会的工作，消除顾虑，促进错时停车、车位分享得到广泛的接受</w:t>
      </w:r>
      <w:r>
        <w:rPr>
          <w:rFonts w:hint="eastAsia" w:asciiTheme="minorEastAsia" w:hAnsiTheme="minorEastAsia" w:eastAsiaTheme="minorEastAsia" w:cstheme="minorEastAsia"/>
          <w:color w:val="333333"/>
          <w:sz w:val="24"/>
          <w:shd w:val="clear" w:color="auto" w:fill="FFFCF4"/>
        </w:rPr>
        <w:t>。</w:t>
      </w:r>
    </w:p>
    <w:p>
      <w:pPr>
        <w:spacing w:line="360" w:lineRule="auto"/>
        <w:rPr>
          <w:rFonts w:asciiTheme="minorEastAsia" w:hAnsiTheme="minorEastAsia" w:cstheme="minorEastAsia"/>
          <w:sz w:val="24"/>
        </w:rPr>
      </w:pPr>
    </w:p>
    <w:p>
      <w:pPr>
        <w:spacing w:line="360" w:lineRule="auto"/>
        <w:ind w:firstLine="480" w:firstLineChars="200"/>
        <w:rPr>
          <w:color w:val="FF0000"/>
        </w:rPr>
      </w:pPr>
      <w:r>
        <w:rPr>
          <w:rFonts w:hint="eastAsia" w:asciiTheme="minorEastAsia" w:hAnsiTheme="minorEastAsia" w:cstheme="minorEastAsia"/>
          <w:sz w:val="24"/>
        </w:rPr>
        <w:t>综合上述，虽然我区的老旧小区众多，停车难问题突出，但我们坚信，在区委区政府的支持下，在相关部门的管理下，在街道和社区的配合下，通过发动业主、做好宣传、制定好程序，结合新技术，一定可以有效缓解这一问题。</w:t>
      </w:r>
      <w:r>
        <w:rPr>
          <w:rFonts w:hint="eastAsia" w:ascii="Arial" w:hAnsi="Arial" w:cs="Arial"/>
          <w:color w:val="595959"/>
          <w:sz w:val="28"/>
          <w:szCs w:val="23"/>
        </w:rPr>
        <w:t xml:space="preserve">  </w:t>
      </w:r>
    </w:p>
    <w:sectPr>
      <w:headerReference r:id="rId3" w:type="default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叶根友毛笔行书2.0版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EFA2C3B"/>
    <w:multiLevelType w:val="singleLevel"/>
    <w:tmpl w:val="9EFA2C3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45AE35E"/>
    <w:multiLevelType w:val="singleLevel"/>
    <w:tmpl w:val="A45AE35E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D89463DF"/>
    <w:multiLevelType w:val="singleLevel"/>
    <w:tmpl w:val="D89463DF"/>
    <w:lvl w:ilvl="0" w:tentative="0">
      <w:start w:val="3"/>
      <w:numFmt w:val="decimal"/>
      <w:lvlText w:val="%1.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3">
    <w:nsid w:val="E9F67D4E"/>
    <w:multiLevelType w:val="singleLevel"/>
    <w:tmpl w:val="E9F67D4E"/>
    <w:lvl w:ilvl="0" w:tentative="0">
      <w:start w:val="7"/>
      <w:numFmt w:val="decimal"/>
      <w:lvlText w:val="(%1)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4">
    <w:nsid w:val="ED98E907"/>
    <w:multiLevelType w:val="singleLevel"/>
    <w:tmpl w:val="ED98E90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5">
    <w:nsid w:val="273F4919"/>
    <w:multiLevelType w:val="multilevel"/>
    <w:tmpl w:val="273F4919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21ED349"/>
    <w:multiLevelType w:val="singleLevel"/>
    <w:tmpl w:val="421ED34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7">
    <w:nsid w:val="44E112DD"/>
    <w:multiLevelType w:val="singleLevel"/>
    <w:tmpl w:val="44E112DD"/>
    <w:lvl w:ilvl="0" w:tentative="0">
      <w:start w:val="4"/>
      <w:numFmt w:val="decimal"/>
      <w:lvlText w:val="%1.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8">
    <w:nsid w:val="4634C5BD"/>
    <w:multiLevelType w:val="singleLevel"/>
    <w:tmpl w:val="4634C5BD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51F70DE8"/>
    <w:multiLevelType w:val="singleLevel"/>
    <w:tmpl w:val="51F70DE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0">
    <w:nsid w:val="5BFBD8E8"/>
    <w:multiLevelType w:val="singleLevel"/>
    <w:tmpl w:val="5BFBD8E8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num w:numId="1">
    <w:abstractNumId w:val="8"/>
  </w:num>
  <w:num w:numId="2">
    <w:abstractNumId w:val="5"/>
  </w:num>
  <w:num w:numId="3">
    <w:abstractNumId w:val="0"/>
  </w:num>
  <w:num w:numId="4">
    <w:abstractNumId w:val="9"/>
  </w:num>
  <w:num w:numId="5">
    <w:abstractNumId w:val="1"/>
  </w:num>
  <w:num w:numId="6">
    <w:abstractNumId w:val="2"/>
  </w:num>
  <w:num w:numId="7">
    <w:abstractNumId w:val="3"/>
  </w:num>
  <w:num w:numId="8">
    <w:abstractNumId w:val="7"/>
  </w:num>
  <w:num w:numId="9">
    <w:abstractNumId w:val="10"/>
  </w:num>
  <w:num w:numId="10">
    <w:abstractNumId w:val="4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gutterAtTop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8086B"/>
    <w:rsid w:val="00031072"/>
    <w:rsid w:val="0008272E"/>
    <w:rsid w:val="00085F83"/>
    <w:rsid w:val="0009556E"/>
    <w:rsid w:val="000A4E6D"/>
    <w:rsid w:val="000D7766"/>
    <w:rsid w:val="000F1747"/>
    <w:rsid w:val="000F1CF0"/>
    <w:rsid w:val="000F2F83"/>
    <w:rsid w:val="000F4A27"/>
    <w:rsid w:val="00103DA8"/>
    <w:rsid w:val="00106ECC"/>
    <w:rsid w:val="0013508E"/>
    <w:rsid w:val="00137A82"/>
    <w:rsid w:val="001409ED"/>
    <w:rsid w:val="0016647B"/>
    <w:rsid w:val="00186DB3"/>
    <w:rsid w:val="001B4BD9"/>
    <w:rsid w:val="001B76FD"/>
    <w:rsid w:val="001C1F55"/>
    <w:rsid w:val="001C708E"/>
    <w:rsid w:val="001C74BF"/>
    <w:rsid w:val="001F41DE"/>
    <w:rsid w:val="00213188"/>
    <w:rsid w:val="00213677"/>
    <w:rsid w:val="00214D59"/>
    <w:rsid w:val="00216209"/>
    <w:rsid w:val="002819FC"/>
    <w:rsid w:val="00284AB7"/>
    <w:rsid w:val="00286AFB"/>
    <w:rsid w:val="002C628D"/>
    <w:rsid w:val="00311D4B"/>
    <w:rsid w:val="003165A2"/>
    <w:rsid w:val="00321B08"/>
    <w:rsid w:val="00337EF9"/>
    <w:rsid w:val="00357DDB"/>
    <w:rsid w:val="00365530"/>
    <w:rsid w:val="00380944"/>
    <w:rsid w:val="00386ADA"/>
    <w:rsid w:val="003C3EC7"/>
    <w:rsid w:val="003D615C"/>
    <w:rsid w:val="003E06A3"/>
    <w:rsid w:val="003E50C8"/>
    <w:rsid w:val="003F1958"/>
    <w:rsid w:val="003F2072"/>
    <w:rsid w:val="0040195C"/>
    <w:rsid w:val="004377BA"/>
    <w:rsid w:val="0048086B"/>
    <w:rsid w:val="00480D9E"/>
    <w:rsid w:val="00485415"/>
    <w:rsid w:val="004C4010"/>
    <w:rsid w:val="004E4124"/>
    <w:rsid w:val="004F28F0"/>
    <w:rsid w:val="00505AA2"/>
    <w:rsid w:val="00534D82"/>
    <w:rsid w:val="00557D05"/>
    <w:rsid w:val="0056377D"/>
    <w:rsid w:val="00585142"/>
    <w:rsid w:val="005B0BA9"/>
    <w:rsid w:val="005B0FC3"/>
    <w:rsid w:val="005B228C"/>
    <w:rsid w:val="005B5401"/>
    <w:rsid w:val="005F184D"/>
    <w:rsid w:val="005F45E1"/>
    <w:rsid w:val="00601FF9"/>
    <w:rsid w:val="00653A51"/>
    <w:rsid w:val="00653E87"/>
    <w:rsid w:val="00660CB0"/>
    <w:rsid w:val="00692139"/>
    <w:rsid w:val="00693C53"/>
    <w:rsid w:val="00696C20"/>
    <w:rsid w:val="006A2663"/>
    <w:rsid w:val="006F576C"/>
    <w:rsid w:val="007B106F"/>
    <w:rsid w:val="007F6345"/>
    <w:rsid w:val="008125F0"/>
    <w:rsid w:val="00832FD2"/>
    <w:rsid w:val="0085445E"/>
    <w:rsid w:val="00882B42"/>
    <w:rsid w:val="008920A6"/>
    <w:rsid w:val="008C51F9"/>
    <w:rsid w:val="008D6CD5"/>
    <w:rsid w:val="00907062"/>
    <w:rsid w:val="00926560"/>
    <w:rsid w:val="00930D28"/>
    <w:rsid w:val="00934FC7"/>
    <w:rsid w:val="009376E1"/>
    <w:rsid w:val="009468DD"/>
    <w:rsid w:val="00966E7E"/>
    <w:rsid w:val="00975317"/>
    <w:rsid w:val="009941F5"/>
    <w:rsid w:val="009D1369"/>
    <w:rsid w:val="009F14ED"/>
    <w:rsid w:val="00A010D9"/>
    <w:rsid w:val="00A1375A"/>
    <w:rsid w:val="00A4013B"/>
    <w:rsid w:val="00A57138"/>
    <w:rsid w:val="00A7108C"/>
    <w:rsid w:val="00A95C64"/>
    <w:rsid w:val="00AB1BCF"/>
    <w:rsid w:val="00AD489C"/>
    <w:rsid w:val="00B04936"/>
    <w:rsid w:val="00B0649A"/>
    <w:rsid w:val="00B11C7A"/>
    <w:rsid w:val="00B12955"/>
    <w:rsid w:val="00B36FB1"/>
    <w:rsid w:val="00B65D24"/>
    <w:rsid w:val="00B66721"/>
    <w:rsid w:val="00B776C9"/>
    <w:rsid w:val="00BD3CCC"/>
    <w:rsid w:val="00BD4C7D"/>
    <w:rsid w:val="00BE06EC"/>
    <w:rsid w:val="00BE732F"/>
    <w:rsid w:val="00BF2005"/>
    <w:rsid w:val="00C21B83"/>
    <w:rsid w:val="00C33219"/>
    <w:rsid w:val="00C616A2"/>
    <w:rsid w:val="00C7137A"/>
    <w:rsid w:val="00C80C31"/>
    <w:rsid w:val="00C87D92"/>
    <w:rsid w:val="00CA34A2"/>
    <w:rsid w:val="00CA669D"/>
    <w:rsid w:val="00CA7843"/>
    <w:rsid w:val="00CB0819"/>
    <w:rsid w:val="00CB23AD"/>
    <w:rsid w:val="00CD2790"/>
    <w:rsid w:val="00CD28F8"/>
    <w:rsid w:val="00CD2E01"/>
    <w:rsid w:val="00CE14B7"/>
    <w:rsid w:val="00CF7C8B"/>
    <w:rsid w:val="00D3329D"/>
    <w:rsid w:val="00D4244D"/>
    <w:rsid w:val="00D8092B"/>
    <w:rsid w:val="00DA5E1C"/>
    <w:rsid w:val="00DB4FED"/>
    <w:rsid w:val="00DC55F0"/>
    <w:rsid w:val="00DF566A"/>
    <w:rsid w:val="00DF7BBE"/>
    <w:rsid w:val="00E0440F"/>
    <w:rsid w:val="00E22A02"/>
    <w:rsid w:val="00E642E1"/>
    <w:rsid w:val="00E95815"/>
    <w:rsid w:val="00EB78C4"/>
    <w:rsid w:val="00ED0116"/>
    <w:rsid w:val="00EF63A4"/>
    <w:rsid w:val="00F00B5F"/>
    <w:rsid w:val="00F0251B"/>
    <w:rsid w:val="00F05303"/>
    <w:rsid w:val="00F05E9F"/>
    <w:rsid w:val="00F05F54"/>
    <w:rsid w:val="00F16A63"/>
    <w:rsid w:val="00F76ED9"/>
    <w:rsid w:val="00F80E48"/>
    <w:rsid w:val="00F9766E"/>
    <w:rsid w:val="161B6754"/>
    <w:rsid w:val="3E773F64"/>
    <w:rsid w:val="66EA4EDB"/>
    <w:rsid w:val="6BFE68C8"/>
    <w:rsid w:val="71D70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7">
    <w:name w:val="Strong"/>
    <w:basedOn w:val="6"/>
    <w:qFormat/>
    <w:locked/>
    <w:uiPriority w:val="0"/>
    <w:rPr>
      <w:b/>
      <w:bCs/>
    </w:rPr>
  </w:style>
  <w:style w:type="character" w:customStyle="1" w:styleId="8">
    <w:name w:val="页眉 Char"/>
    <w:basedOn w:val="6"/>
    <w:link w:val="3"/>
    <w:semiHidden/>
    <w:qFormat/>
    <w:uiPriority w:val="99"/>
    <w:rPr>
      <w:rFonts w:ascii="Times New Roman" w:hAnsi="Times New Roman"/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75673EA-466A-4C1A-A068-142D76AFE01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643</Words>
  <Characters>3671</Characters>
  <Lines>30</Lines>
  <Paragraphs>8</Paragraphs>
  <TotalTime>807</TotalTime>
  <ScaleCrop>false</ScaleCrop>
  <LinksUpToDate>false</LinksUpToDate>
  <CharactersWithSpaces>4306</CharactersWithSpaces>
  <Application>WPS Office_11.8.2.10321_F1E327BC-269C-435d-A152-05C5408002CA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2016-12-14T09:20:00Z</dcterms:created>
  <dc:creator>lenove</dc:creator>
  <cp:lastModifiedBy>user</cp:lastModifiedBy>
  <cp:lastPrinted>2019-01-21T10:31:00Z</cp:lastPrinted>
  <dcterms:modified xsi:type="dcterms:W3CDTF">2023-08-09T03:47:49Z</dcterms:modified>
  <cp:revision>61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2052-11.8.2.10321</vt:lpwstr>
  </property>
</Properties>
</file>