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第</w:t>
      </w:r>
      <w:r>
        <w:rPr>
          <w:rFonts w:hint="eastAsia" w:ascii="仿宋" w:hAnsi="仿宋" w:eastAsia="仿宋" w:cs="仿宋"/>
          <w:sz w:val="32"/>
          <w:szCs w:val="32"/>
          <w:u w:val="single"/>
          <w:lang w:val="en-US" w:eastAsia="zh-CN"/>
        </w:rPr>
        <w:t xml:space="preserve">  13  </w:t>
      </w:r>
      <w:r>
        <w:rPr>
          <w:rFonts w:hint="eastAsia" w:ascii="仿宋" w:hAnsi="仿宋" w:eastAsia="仿宋" w:cs="仿宋"/>
          <w:sz w:val="32"/>
          <w:szCs w:val="32"/>
          <w:u w:val="none"/>
          <w:lang w:val="en-US" w:eastAsia="zh-CN"/>
        </w:rPr>
        <w:t>号</w:t>
      </w:r>
    </w:p>
    <w:p>
      <w:pPr>
        <w:jc w:val="center"/>
        <w:rPr>
          <w:rFonts w:ascii="小标宋" w:hAnsi="黑体" w:eastAsia="小标宋"/>
          <w:sz w:val="44"/>
          <w:szCs w:val="44"/>
        </w:rPr>
      </w:pPr>
      <w:r>
        <w:rPr>
          <w:rFonts w:hint="eastAsia" w:ascii="小标宋" w:hAnsi="黑体" w:eastAsia="小标宋"/>
          <w:sz w:val="44"/>
          <w:szCs w:val="44"/>
        </w:rPr>
        <w:t>番禺区政协十四届七次会议提案</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关于促进我区先进制造业科技成果转化</w:t>
            </w:r>
          </w:p>
          <w:p>
            <w:pPr>
              <w:spacing w:line="560" w:lineRule="exact"/>
              <w:jc w:val="center"/>
              <w:rPr>
                <w:rFonts w:hint="eastAsia" w:ascii="宋体" w:hAnsi="宋体" w:cs="宋体"/>
                <w:b/>
                <w:bCs/>
                <w:sz w:val="44"/>
                <w:szCs w:val="44"/>
              </w:rPr>
            </w:pPr>
            <w:r>
              <w:rPr>
                <w:rFonts w:hint="eastAsia" w:ascii="仿宋_GB2312" w:hAnsi="宋体" w:eastAsia="仿宋_GB2312"/>
                <w:sz w:val="32"/>
                <w:szCs w:val="32"/>
              </w:rPr>
              <w:t>助推大湾区国际科技创新中心建设的建议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蒋伟楷</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陈华娥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广州市浩洋电子股份有限公司</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董事长兼总经理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440" w:lineRule="exact"/>
        <w:rPr>
          <w:rFonts w:ascii="宋体" w:hAnsi="宋体"/>
          <w:b/>
          <w:sz w:val="30"/>
          <w:szCs w:val="30"/>
        </w:rPr>
      </w:pPr>
      <w:r>
        <w:rPr>
          <w:rFonts w:hint="eastAsia" w:ascii="宋体" w:hAnsi="宋体"/>
          <w:b/>
          <w:sz w:val="30"/>
          <w:szCs w:val="30"/>
        </w:rPr>
        <w:t>是否同意公开：</w:t>
      </w:r>
    </w:p>
    <w:p>
      <w:pPr>
        <w:spacing w:line="440" w:lineRule="exact"/>
        <w:rPr>
          <w:rFonts w:ascii="宋体"/>
          <w:sz w:val="30"/>
          <w:szCs w:val="30"/>
        </w:rPr>
      </w:pPr>
      <w:r>
        <w:rPr>
          <w:rFonts w:hint="eastAsia" w:ascii="宋体" w:hAnsi="宋体"/>
          <w:b/>
          <w:sz w:val="30"/>
          <w:szCs w:val="30"/>
        </w:rPr>
        <w:t>●</w:t>
      </w:r>
      <w:r>
        <w:rPr>
          <w:rFonts w:hint="eastAsia" w:ascii="宋体" w:hAnsi="宋体"/>
          <w:sz w:val="30"/>
          <w:szCs w:val="30"/>
        </w:rPr>
        <w:t>是</w:t>
      </w:r>
      <w:r>
        <w:rPr>
          <w:rFonts w:ascii="宋体" w:hAnsi="宋体"/>
          <w:sz w:val="30"/>
          <w:szCs w:val="30"/>
        </w:rPr>
        <w:t xml:space="preserve">  </w:t>
      </w:r>
      <w:r>
        <w:rPr>
          <w:rFonts w:hint="eastAsia" w:ascii="宋体" w:hAnsi="宋体"/>
          <w:sz w:val="30"/>
          <w:szCs w:val="30"/>
        </w:rPr>
        <w:t>○否</w:t>
      </w:r>
      <w:r>
        <w:rPr>
          <w:rFonts w:ascii="宋体" w:hAnsi="宋体"/>
          <w:sz w:val="30"/>
          <w:szCs w:val="30"/>
        </w:rPr>
        <w:t xml:space="preserve"> </w:t>
      </w:r>
    </w:p>
    <w:p>
      <w:pPr>
        <w:spacing w:line="440" w:lineRule="exact"/>
        <w:rPr>
          <w:rFonts w:ascii="宋体" w:hAnsi="宋体"/>
          <w:b/>
          <w:sz w:val="30"/>
          <w:szCs w:val="30"/>
        </w:rPr>
      </w:pPr>
      <w:r>
        <w:rPr>
          <w:rFonts w:hint="eastAsia" w:ascii="宋体" w:hAnsi="宋体"/>
          <w:b/>
          <w:sz w:val="30"/>
          <w:szCs w:val="30"/>
        </w:rPr>
        <w:t>建议办理单位：</w:t>
      </w:r>
    </w:p>
    <w:p>
      <w:pPr>
        <w:spacing w:line="440" w:lineRule="exact"/>
        <w:rPr>
          <w:rFonts w:ascii="宋体" w:hAnsi="宋体"/>
          <w:b/>
          <w:sz w:val="30"/>
          <w:szCs w:val="30"/>
        </w:rPr>
      </w:pPr>
      <w:r>
        <w:rPr>
          <w:rFonts w:ascii="宋体" w:hAnsi="宋体"/>
          <w:b/>
          <w:sz w:val="30"/>
          <w:szCs w:val="30"/>
        </w:rPr>
        <w:t>1.</w:t>
      </w:r>
      <w:r>
        <w:rPr>
          <w:rFonts w:hint="eastAsia"/>
        </w:rPr>
        <w:t xml:space="preserve"> </w:t>
      </w:r>
      <w:r>
        <w:rPr>
          <w:rFonts w:hint="eastAsia" w:ascii="宋体" w:hAnsi="宋体"/>
          <w:b/>
          <w:sz w:val="30"/>
          <w:szCs w:val="30"/>
        </w:rPr>
        <w:t>区科工商信局</w:t>
      </w:r>
    </w:p>
    <w:p>
      <w:pPr>
        <w:spacing w:line="440" w:lineRule="exact"/>
        <w:rPr>
          <w:rFonts w:ascii="宋体"/>
          <w:b/>
          <w:sz w:val="30"/>
          <w:szCs w:val="30"/>
        </w:rPr>
      </w:pPr>
      <w:r>
        <w:rPr>
          <w:rFonts w:ascii="宋体" w:hAnsi="宋体"/>
          <w:b/>
          <w:sz w:val="30"/>
          <w:szCs w:val="30"/>
        </w:rPr>
        <w:t>2.</w:t>
      </w:r>
      <w:r>
        <w:rPr>
          <w:rFonts w:hint="eastAsia" w:ascii="宋体" w:hAnsi="宋体"/>
          <w:b/>
          <w:sz w:val="30"/>
          <w:szCs w:val="30"/>
        </w:rPr>
        <w:t xml:space="preserve"> 区发展和改革局</w:t>
      </w:r>
    </w:p>
    <w:p>
      <w:pPr>
        <w:spacing w:line="440" w:lineRule="exact"/>
        <w:rPr>
          <w:rFonts w:ascii="宋体" w:hAnsi="宋体"/>
          <w:b/>
          <w:sz w:val="30"/>
          <w:szCs w:val="30"/>
        </w:rPr>
      </w:pPr>
    </w:p>
    <w:p>
      <w:pPr>
        <w:spacing w:line="440" w:lineRule="exact"/>
        <w:rPr>
          <w:rFonts w:ascii="黑体" w:hAnsi="黑体" w:eastAsia="黑体"/>
          <w:b/>
          <w:sz w:val="32"/>
          <w:szCs w:val="32"/>
        </w:rPr>
      </w:pPr>
      <w:r>
        <w:rPr>
          <w:rFonts w:hint="eastAsia" w:ascii="黑体" w:hAnsi="黑体" w:eastAsia="黑体"/>
          <w:b/>
          <w:sz w:val="32"/>
          <w:szCs w:val="32"/>
        </w:rPr>
        <w:t>理由：</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广东正全力推进粤港澳大湾区的建设，打造国际科技创新中心。我区虽有着先进制造企业众多、研发基础好、大学城高校、资源聚集能力强等优势，但仍存在先进制造企业科技成果数量增长快但转化率不高、独角兽发展缓慢等问题。主要原因有：</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1.考核评价体系需要加强。</w:t>
      </w:r>
      <w:r>
        <w:rPr>
          <w:rFonts w:hint="eastAsia" w:ascii="仿宋" w:hAnsi="仿宋" w:eastAsia="仿宋" w:cs="仿宋"/>
          <w:sz w:val="32"/>
          <w:szCs w:val="32"/>
        </w:rPr>
        <w:t xml:space="preserve">在学科评估、职称评定中，科研项目“贴标签”现象仍存在，对政府投资基金的考核也存在容错不足等问题。 </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2.政策细则待健全。</w:t>
      </w:r>
      <w:r>
        <w:rPr>
          <w:rFonts w:hint="eastAsia" w:ascii="仿宋" w:hAnsi="仿宋" w:eastAsia="仿宋" w:cs="仿宋"/>
          <w:sz w:val="32"/>
          <w:szCs w:val="32"/>
        </w:rPr>
        <w:t>促进科技成果转化的政策多为宏观指导性意见，单一部门发文但实操中涉及多个部门，另外有的地方在出台</w:t>
      </w:r>
      <w:bookmarkStart w:id="0" w:name="_GoBack"/>
      <w:bookmarkEnd w:id="0"/>
      <w:r>
        <w:rPr>
          <w:rFonts w:hint="eastAsia" w:ascii="仿宋" w:hAnsi="仿宋" w:eastAsia="仿宋" w:cs="仿宋"/>
          <w:sz w:val="32"/>
          <w:szCs w:val="32"/>
        </w:rPr>
        <w:t>细则过程中存在层层收紧现象。科技成果供需脱节，科研院所重论文、轻转化，企业不愿投入未成熟的创新成果，科技成果和产业有些脱节。</w:t>
      </w:r>
    </w:p>
    <w:p>
      <w:pPr>
        <w:pStyle w:val="2"/>
        <w:ind w:left="0" w:leftChars="0" w:firstLine="0" w:firstLineChars="0"/>
      </w:pPr>
    </w:p>
    <w:p>
      <w:pPr>
        <w:spacing w:line="560" w:lineRule="exact"/>
      </w:pPr>
      <w:r>
        <w:rPr>
          <w:rFonts w:hint="eastAsia" w:ascii="黑体" w:hAnsi="黑体" w:eastAsia="黑体"/>
          <w:b/>
          <w:sz w:val="32"/>
          <w:szCs w:val="32"/>
        </w:rPr>
        <w:t>办法：</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（一）催生高质量的科技成果</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1.完善考评体系，让科研人员愿转化。</w:t>
      </w:r>
      <w:r>
        <w:rPr>
          <w:rFonts w:hint="eastAsia" w:ascii="仿宋" w:hAnsi="仿宋" w:eastAsia="仿宋" w:cs="仿宋"/>
          <w:sz w:val="32"/>
          <w:szCs w:val="32"/>
        </w:rPr>
        <w:t>建议完善现有考核评价体系，增加如技术合同成交量、市场化的完成程度及产业化前景、国内外行业认可度、造福民生的贡献度等指标，或加大权重，让发表论文虽少但成果转化突出、对产业发展帮助大的人员，在评职称、待遇等方面得到公平待遇。同时，完善高等院校及科研机构的综合评分体系，向成果转化做得好的单位倾斜。</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2.创造宽松环境，让科研人员敢转化。</w:t>
      </w:r>
      <w:r>
        <w:rPr>
          <w:rFonts w:hint="eastAsia" w:ascii="仿宋" w:hAnsi="仿宋" w:eastAsia="仿宋" w:cs="仿宋"/>
          <w:sz w:val="32"/>
          <w:szCs w:val="32"/>
        </w:rPr>
        <w:t>一是要营造宽松的科技成果转化环境，建立容错机制；二是建立科技成果转化的负面清单制，非清单所规定的均视为合法合规；三是建立“审计+财政+科技”联合小组审计机制，更科学全面地对成果转化项目进行审计；四是严禁各级层层政策收紧。</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3.细化政策并明确分工，以“一校一策”点燃成果转化的新引擎。</w:t>
      </w:r>
      <w:r>
        <w:rPr>
          <w:rFonts w:hint="eastAsia" w:ascii="仿宋" w:hAnsi="仿宋" w:eastAsia="仿宋" w:cs="仿宋"/>
          <w:sz w:val="32"/>
          <w:szCs w:val="32"/>
        </w:rPr>
        <w:t>我区拥有大学城科研力量强的高校资源，建议我区组织高新技术企业与研发能力强的院校签约技术研发协议或共建新型研发机构，“一校一策”配套相应资源；同时，针对高校科技成果转化的优惠政策，无差别地惠及签约高校，充分激发积极性。</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4.鼓励技术难题招标。</w:t>
      </w:r>
      <w:r>
        <w:rPr>
          <w:rFonts w:hint="eastAsia" w:ascii="仿宋" w:hAnsi="仿宋" w:eastAsia="仿宋" w:cs="仿宋"/>
          <w:sz w:val="32"/>
          <w:szCs w:val="32"/>
        </w:rPr>
        <w:t>针对科研成果供需脱节，区政府支持企业开展面向高校院所的技术难题竞标、科技悬赏等“研发众包”的做法，让科研团队的研究有的放矢。同时打造科技成果转化交易平台，链接科研院所、企业、技术转移服务等，聚合成果转化交易、技术难题竞标、科技悬赏等板块，实现科技成果转化数据及资源的共享共用。</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（二）发挥资金和资本更高的效能</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1.加大对我区先进制造企业科技成果转化的奖补支持。</w:t>
      </w:r>
      <w:r>
        <w:rPr>
          <w:rFonts w:hint="eastAsia" w:ascii="仿宋" w:hAnsi="仿宋" w:eastAsia="仿宋" w:cs="仿宋"/>
          <w:sz w:val="32"/>
          <w:szCs w:val="32"/>
        </w:rPr>
        <w:t>建议我区对先进制造企业中研发投入大、占比高、科技转化成果多及科技转化成果优的企业，给予科技转化项目的补贴及奖励，发挥政府有形之手的积极作用，鼓励支持我区先进制造企业科技转化，实现企业的创新发展。</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2.科学制定政府投资基金的考核方式。</w:t>
      </w:r>
      <w:r>
        <w:rPr>
          <w:rFonts w:hint="eastAsia" w:ascii="仿宋" w:hAnsi="仿宋" w:eastAsia="仿宋" w:cs="仿宋"/>
          <w:sz w:val="32"/>
          <w:szCs w:val="32"/>
        </w:rPr>
        <w:t>应明确是对整个存续期、所有投资项目的综合考核，重点考核该领域的产业是否在我省有较快发展、是否促进掌握关键核心技术。</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3.为创投资金打造宽松的政策环境。（1）降低返投要求。</w:t>
      </w:r>
      <w:r>
        <w:rPr>
          <w:rFonts w:hint="eastAsia" w:ascii="仿宋" w:hAnsi="仿宋" w:eastAsia="仿宋" w:cs="仿宋"/>
          <w:sz w:val="32"/>
          <w:szCs w:val="32"/>
        </w:rPr>
        <w:t>引导基金有着返投比例的要求，但实操僵化，另外还应调低返投比例的要求，以鼓励更多优秀的创投机构、投资基金进入我区。</w:t>
      </w:r>
      <w:r>
        <w:rPr>
          <w:rFonts w:hint="eastAsia" w:ascii="仿宋" w:hAnsi="仿宋" w:eastAsia="仿宋" w:cs="仿宋"/>
          <w:b/>
          <w:bCs/>
          <w:sz w:val="32"/>
          <w:szCs w:val="32"/>
        </w:rPr>
        <w:t>（2）优化税收制度。</w:t>
      </w:r>
      <w:r>
        <w:rPr>
          <w:rFonts w:hint="eastAsia" w:ascii="仿宋" w:hAnsi="仿宋" w:eastAsia="仿宋" w:cs="仿宋"/>
          <w:sz w:val="32"/>
          <w:szCs w:val="32"/>
        </w:rPr>
        <w:t>创投基金存续期一般是7年左右，为支持科技研发项目近年来还有延长趋势。建议按对创投基金的完整存续期（通常7-10年）进行企业所得税汇算清缴，降低创投基金不合理的税负。</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4.加大对促进先进制造企业转化中间服务机构和人员的激励。</w:t>
      </w:r>
      <w:r>
        <w:rPr>
          <w:rFonts w:hint="eastAsia" w:ascii="仿宋" w:hAnsi="仿宋" w:eastAsia="仿宋" w:cs="仿宋"/>
          <w:bCs/>
          <w:sz w:val="32"/>
          <w:szCs w:val="32"/>
        </w:rPr>
        <w:t>总结</w:t>
      </w:r>
      <w:r>
        <w:rPr>
          <w:rFonts w:hint="eastAsia" w:ascii="仿宋" w:hAnsi="仿宋" w:eastAsia="仿宋" w:cs="仿宋"/>
          <w:sz w:val="32"/>
          <w:szCs w:val="32"/>
        </w:rPr>
        <w:t>科技成果转化经验，出台相应政策，明确促进成果转化的服务平台和人员的奖励措施。</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5.建立共创共享机制，实现大湾区共赢。</w:t>
      </w:r>
      <w:r>
        <w:rPr>
          <w:rFonts w:hint="eastAsia" w:ascii="仿宋" w:hAnsi="仿宋" w:eastAsia="仿宋" w:cs="仿宋"/>
          <w:sz w:val="32"/>
          <w:szCs w:val="32"/>
        </w:rPr>
        <w:t>建议我区探索建立先进制造企业科技成果转化的共享机制，比如共享科创成果、共享成果转化的收益、甚至共享产业化后形成的税收，实现双赢，实现港澳先进技术成果和产业优势的结合。</w:t>
      </w:r>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98D"/>
    <w:rsid w:val="00075DAC"/>
    <w:rsid w:val="001A78D7"/>
    <w:rsid w:val="002E2C2F"/>
    <w:rsid w:val="00527585"/>
    <w:rsid w:val="009E1C72"/>
    <w:rsid w:val="00AE198D"/>
    <w:rsid w:val="00BC1F6F"/>
    <w:rsid w:val="00F206B6"/>
    <w:rsid w:val="00F321CC"/>
    <w:rsid w:val="02FE477E"/>
    <w:rsid w:val="1AAB3523"/>
    <w:rsid w:val="310E082C"/>
    <w:rsid w:val="66F17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1"/>
    <w:semiHidden/>
    <w:unhideWhenUsed/>
    <w:uiPriority w:val="99"/>
    <w:pPr>
      <w:ind w:firstLine="420" w:firstLineChars="200"/>
    </w:pPr>
  </w:style>
  <w:style w:type="paragraph" w:styleId="3">
    <w:name w:val="Body Text Indent"/>
    <w:basedOn w:val="1"/>
    <w:link w:val="10"/>
    <w:semiHidden/>
    <w:unhideWhenUsed/>
    <w:qFormat/>
    <w:uiPriority w:val="99"/>
    <w:pPr>
      <w:spacing w:after="120"/>
      <w:ind w:left="420" w:leftChars="200"/>
    </w:p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uiPriority w:val="0"/>
    <w:rPr>
      <w:sz w:val="18"/>
      <w:szCs w:val="18"/>
    </w:rPr>
  </w:style>
  <w:style w:type="character" w:customStyle="1" w:styleId="9">
    <w:name w:val="页脚 字符"/>
    <w:basedOn w:val="7"/>
    <w:link w:val="4"/>
    <w:qFormat/>
    <w:uiPriority w:val="99"/>
    <w:rPr>
      <w:sz w:val="18"/>
      <w:szCs w:val="18"/>
    </w:rPr>
  </w:style>
  <w:style w:type="character" w:customStyle="1" w:styleId="10">
    <w:name w:val="正文文本缩进 字符"/>
    <w:basedOn w:val="7"/>
    <w:link w:val="3"/>
    <w:semiHidden/>
    <w:qFormat/>
    <w:uiPriority w:val="99"/>
    <w:rPr>
      <w:rFonts w:ascii="Times New Roman" w:hAnsi="Times New Roman" w:eastAsia="宋体" w:cs="Times New Roman"/>
      <w:szCs w:val="24"/>
    </w:rPr>
  </w:style>
  <w:style w:type="character" w:customStyle="1" w:styleId="11">
    <w:name w:val="正文首行缩进 2 字符"/>
    <w:basedOn w:val="10"/>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258</Words>
  <Characters>1472</Characters>
  <Lines>12</Lines>
  <Paragraphs>3</Paragraphs>
  <TotalTime>14</TotalTime>
  <ScaleCrop>false</ScaleCrop>
  <LinksUpToDate>false</LinksUpToDate>
  <CharactersWithSpaces>1727</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2020-12-31T07:49:00Z</dcterms:created>
  <dc:creator>陈华娥</dc:creator>
  <cp:lastModifiedBy>user</cp:lastModifiedBy>
  <dcterms:modified xsi:type="dcterms:W3CDTF">2023-08-09T03:36:54Z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