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right"/>
        <w:rPr>
          <w:rFonts w:hint="eastAsia" w:ascii="宋体" w:hAnsi="宋体"/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t>第</w:t>
      </w:r>
      <w:r>
        <w:rPr>
          <w:rFonts w:ascii="宋体" w:hAnsi="宋体"/>
          <w:sz w:val="32"/>
          <w:szCs w:val="32"/>
          <w:u w:val="single"/>
        </w:rPr>
        <w:t xml:space="preserve">  </w:t>
      </w:r>
      <w:r>
        <w:rPr>
          <w:rFonts w:hint="eastAsia" w:ascii="宋体" w:hAnsi="宋体"/>
          <w:sz w:val="32"/>
          <w:szCs w:val="32"/>
          <w:u w:val="single"/>
          <w:lang w:val="en-US" w:eastAsia="zh-CN"/>
        </w:rPr>
        <w:t>6</w:t>
      </w:r>
      <w:r>
        <w:rPr>
          <w:rFonts w:ascii="宋体" w:hAnsi="宋体"/>
          <w:sz w:val="32"/>
          <w:szCs w:val="32"/>
          <w:u w:val="single"/>
        </w:rPr>
        <w:t xml:space="preserve">   </w:t>
      </w:r>
      <w:r>
        <w:rPr>
          <w:rFonts w:hint="eastAsia" w:ascii="宋体" w:hAnsi="宋体"/>
          <w:sz w:val="32"/>
          <w:szCs w:val="32"/>
        </w:rPr>
        <w:t>号</w:t>
      </w:r>
    </w:p>
    <w:p>
      <w:pPr>
        <w:jc w:val="center"/>
        <w:rPr>
          <w:rFonts w:ascii="小标宋" w:hAnsi="黑体" w:eastAsia="小标宋"/>
          <w:sz w:val="44"/>
          <w:szCs w:val="44"/>
        </w:rPr>
      </w:pPr>
      <w:r>
        <w:rPr>
          <w:rFonts w:hint="eastAsia" w:ascii="小标宋" w:hAnsi="黑体" w:eastAsia="小标宋"/>
          <w:sz w:val="44"/>
          <w:szCs w:val="44"/>
        </w:rPr>
        <w:t>番禺区政协十四届</w:t>
      </w:r>
      <w:r>
        <w:rPr>
          <w:rFonts w:hint="eastAsia" w:ascii="小标宋" w:hAnsi="黑体" w:eastAsia="小标宋"/>
          <w:sz w:val="44"/>
          <w:szCs w:val="44"/>
          <w:lang w:eastAsia="zh-CN"/>
        </w:rPr>
        <w:t>七</w:t>
      </w:r>
      <w:r>
        <w:rPr>
          <w:rFonts w:hint="eastAsia" w:ascii="小标宋" w:hAnsi="黑体" w:eastAsia="小标宋"/>
          <w:sz w:val="44"/>
          <w:szCs w:val="44"/>
        </w:rPr>
        <w:t>次会议提案</w:t>
      </w:r>
    </w:p>
    <w:tbl>
      <w:tblPr>
        <w:tblStyle w:val="7"/>
        <w:tblW w:w="909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51"/>
        <w:gridCol w:w="2693"/>
        <w:gridCol w:w="284"/>
        <w:gridCol w:w="1276"/>
        <w:gridCol w:w="992"/>
        <w:gridCol w:w="189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题目</w:t>
            </w:r>
          </w:p>
        </w:tc>
        <w:tc>
          <w:tcPr>
            <w:tcW w:w="714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加快“新基建”推进智慧城市建设，发展数字经济的建议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提案者</w:t>
            </w:r>
          </w:p>
        </w:tc>
        <w:tc>
          <w:tcPr>
            <w:tcW w:w="29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宋体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宋体" w:hAnsi="宋体" w:cs="宋体"/>
                <w:bCs/>
                <w:sz w:val="30"/>
                <w:szCs w:val="30"/>
              </w:rPr>
              <w:t>九三学社番禺委员会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联系人</w:t>
            </w:r>
          </w:p>
        </w:tc>
        <w:tc>
          <w:tcPr>
            <w:tcW w:w="28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宋体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  <w:lang w:val="en-US" w:eastAsia="zh-CN"/>
              </w:rPr>
              <w:t>周建中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工作单位</w:t>
            </w:r>
          </w:p>
        </w:tc>
        <w:tc>
          <w:tcPr>
            <w:tcW w:w="29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  <w:lang w:eastAsia="zh-CN"/>
              </w:rPr>
              <w:t>区环保局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职</w:t>
            </w:r>
            <w:r>
              <w:rPr>
                <w:rFonts w:ascii="仿宋_GB2312" w:hAnsi="宋体" w:eastAsia="仿宋_GB2312"/>
                <w:sz w:val="32"/>
                <w:szCs w:val="32"/>
              </w:rPr>
              <w:t xml:space="preserve">  </w:t>
            </w:r>
            <w:r>
              <w:rPr>
                <w:rFonts w:hint="eastAsia" w:ascii="仿宋_GB2312" w:hAnsi="宋体" w:eastAsia="仿宋_GB2312"/>
                <w:sz w:val="32"/>
                <w:szCs w:val="32"/>
              </w:rPr>
              <w:t>务</w:t>
            </w:r>
          </w:p>
        </w:tc>
        <w:tc>
          <w:tcPr>
            <w:tcW w:w="28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  <w:lang w:eastAsia="zh-CN"/>
              </w:rPr>
              <w:t>局长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9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手机号码</w:t>
            </w:r>
          </w:p>
        </w:tc>
        <w:tc>
          <w:tcPr>
            <w:tcW w:w="26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宋体" w:eastAsia="仿宋_GB2312"/>
                <w:sz w:val="32"/>
                <w:szCs w:val="32"/>
              </w:rPr>
            </w:pPr>
          </w:p>
        </w:tc>
        <w:tc>
          <w:tcPr>
            <w:tcW w:w="15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办公电话</w:t>
            </w:r>
          </w:p>
        </w:tc>
        <w:tc>
          <w:tcPr>
            <w:tcW w:w="28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宋体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通讯地址</w:t>
            </w:r>
          </w:p>
        </w:tc>
        <w:tc>
          <w:tcPr>
            <w:tcW w:w="425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仿宋_GB2312" w:hAnsi="宋体" w:eastAsia="仿宋_GB2312"/>
                <w:sz w:val="32"/>
                <w:szCs w:val="32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邮编</w:t>
            </w:r>
          </w:p>
        </w:tc>
        <w:tc>
          <w:tcPr>
            <w:tcW w:w="18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仿宋_GB2312" w:hAnsi="宋体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19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联名提案人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宋体" w:eastAsia="仿宋_GB2312"/>
                <w:spacing w:val="-14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pacing w:val="-14"/>
                <w:sz w:val="32"/>
                <w:szCs w:val="32"/>
              </w:rPr>
              <w:t>（如</w:t>
            </w:r>
            <w:r>
              <w:rPr>
                <w:rFonts w:hint="eastAsia" w:ascii="仿宋_GB2312" w:hAnsi="宋体" w:eastAsia="仿宋_GB2312"/>
                <w:spacing w:val="-14"/>
                <w:sz w:val="28"/>
                <w:szCs w:val="28"/>
              </w:rPr>
              <w:t>人数较多，可另附于文后</w:t>
            </w:r>
            <w:r>
              <w:rPr>
                <w:rFonts w:hint="eastAsia" w:ascii="仿宋_GB2312" w:hAnsi="宋体" w:eastAsia="仿宋_GB2312"/>
                <w:spacing w:val="-14"/>
                <w:sz w:val="32"/>
                <w:szCs w:val="32"/>
              </w:rPr>
              <w:t>）</w:t>
            </w:r>
          </w:p>
        </w:tc>
        <w:tc>
          <w:tcPr>
            <w:tcW w:w="714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  <w:lang w:val="en-US" w:eastAsia="zh-CN"/>
              </w:rPr>
              <w:t>周志、傅红卫、陈红艳、李东、曾媛、杜素音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提案委员会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审查意见</w:t>
            </w:r>
          </w:p>
        </w:tc>
        <w:tc>
          <w:tcPr>
            <w:tcW w:w="714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ascii="仿宋_GB2312" w:hAnsi="宋体" w:eastAsia="仿宋_GB2312"/>
                <w:sz w:val="32"/>
                <w:szCs w:val="32"/>
              </w:rPr>
            </w:pPr>
          </w:p>
        </w:tc>
      </w:tr>
    </w:tbl>
    <w:p>
      <w:pPr>
        <w:spacing w:line="560" w:lineRule="exact"/>
        <w:rPr>
          <w:rFonts w:hint="eastAsia" w:ascii="仿宋" w:hAnsi="仿宋" w:eastAsia="仿宋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sz w:val="32"/>
          <w:szCs w:val="32"/>
        </w:rPr>
        <w:t>根据实际情况在○内打勾确认：</w:t>
      </w:r>
    </w:p>
    <w:p>
      <w:pPr>
        <w:spacing w:line="440" w:lineRule="exact"/>
        <w:rPr>
          <w:rFonts w:ascii="宋体" w:hAnsi="宋体"/>
          <w:b/>
          <w:sz w:val="30"/>
          <w:szCs w:val="30"/>
        </w:rPr>
      </w:pPr>
      <w:r>
        <w:rPr>
          <w:rFonts w:hint="eastAsia" w:ascii="宋体" w:hAnsi="宋体"/>
          <w:b/>
          <w:sz w:val="30"/>
          <w:szCs w:val="30"/>
          <w:lang w:eastAsia="zh-CN"/>
        </w:rPr>
        <w:t>是否同意公开</w:t>
      </w:r>
      <w:r>
        <w:rPr>
          <w:rFonts w:hint="eastAsia" w:ascii="宋体" w:hAnsi="宋体"/>
          <w:b/>
          <w:sz w:val="30"/>
          <w:szCs w:val="30"/>
        </w:rPr>
        <w:t>：</w:t>
      </w:r>
    </w:p>
    <w:p>
      <w:pPr>
        <w:spacing w:line="440" w:lineRule="exact"/>
        <w:rPr>
          <w:rFonts w:ascii="宋体"/>
          <w:sz w:val="30"/>
          <w:szCs w:val="30"/>
        </w:rPr>
      </w:pPr>
      <w:r>
        <w:rPr>
          <w:rFonts w:ascii="黑体" w:hAnsi="黑体" w:eastAsia="黑体"/>
          <w:sz w:val="32"/>
          <w:szCs w:val="32"/>
        </w:rPr>
        <w:fldChar w:fldCharType="begin"/>
      </w:r>
      <w:r>
        <w:rPr>
          <w:rFonts w:ascii="黑体" w:hAnsi="黑体" w:eastAsia="黑体"/>
          <w:sz w:val="32"/>
          <w:szCs w:val="32"/>
        </w:rPr>
        <w:instrText xml:space="preserve"> </w:instrText>
      </w:r>
      <w:r>
        <w:rPr>
          <w:rFonts w:hint="eastAsia" w:ascii="黑体" w:hAnsi="黑体" w:eastAsia="黑体"/>
          <w:sz w:val="32"/>
          <w:szCs w:val="32"/>
        </w:rPr>
        <w:instrText xml:space="preserve">eq \o\ac(○,</w:instrText>
      </w:r>
      <w:r>
        <w:rPr>
          <w:rFonts w:hint="eastAsia" w:ascii="黑体" w:hAnsi="黑体" w:eastAsia="黑体"/>
          <w:position w:val="2"/>
          <w:sz w:val="22"/>
          <w:szCs w:val="32"/>
        </w:rPr>
        <w:instrText xml:space="preserve">√</w:instrText>
      </w:r>
      <w:r>
        <w:rPr>
          <w:rFonts w:hint="eastAsia" w:ascii="黑体" w:hAnsi="黑体" w:eastAsia="黑体"/>
          <w:sz w:val="32"/>
          <w:szCs w:val="32"/>
        </w:rPr>
        <w:instrText xml:space="preserve">)</w:instrText>
      </w:r>
      <w:r>
        <w:rPr>
          <w:rFonts w:ascii="黑体" w:hAnsi="黑体" w:eastAsia="黑体"/>
          <w:sz w:val="32"/>
          <w:szCs w:val="32"/>
        </w:rPr>
        <w:fldChar w:fldCharType="end"/>
      </w:r>
      <w:r>
        <w:rPr>
          <w:rFonts w:hint="eastAsia" w:ascii="宋体" w:hAnsi="宋体"/>
          <w:sz w:val="30"/>
          <w:szCs w:val="30"/>
          <w:lang w:eastAsia="zh-CN"/>
        </w:rPr>
        <w:t>是</w:t>
      </w:r>
      <w:r>
        <w:rPr>
          <w:rFonts w:ascii="宋体" w:hAnsi="宋体"/>
          <w:sz w:val="30"/>
          <w:szCs w:val="30"/>
        </w:rPr>
        <w:t xml:space="preserve">  </w:t>
      </w:r>
      <w:r>
        <w:rPr>
          <w:rFonts w:hint="eastAsia" w:ascii="宋体" w:hAnsi="宋体"/>
          <w:sz w:val="30"/>
          <w:szCs w:val="30"/>
        </w:rPr>
        <w:t>○</w:t>
      </w:r>
      <w:r>
        <w:rPr>
          <w:rFonts w:hint="eastAsia" w:ascii="宋体" w:hAnsi="宋体"/>
          <w:sz w:val="30"/>
          <w:szCs w:val="30"/>
          <w:lang w:eastAsia="zh-CN"/>
        </w:rPr>
        <w:t>否</w:t>
      </w:r>
      <w:r>
        <w:rPr>
          <w:rFonts w:ascii="宋体" w:hAnsi="宋体"/>
          <w:sz w:val="30"/>
          <w:szCs w:val="30"/>
        </w:rPr>
        <w:t xml:space="preserve"> </w:t>
      </w:r>
    </w:p>
    <w:p>
      <w:pPr>
        <w:spacing w:line="440" w:lineRule="exact"/>
        <w:rPr>
          <w:rFonts w:ascii="宋体" w:hAnsi="宋体"/>
          <w:b/>
          <w:sz w:val="30"/>
          <w:szCs w:val="30"/>
        </w:rPr>
      </w:pPr>
      <w:r>
        <w:rPr>
          <w:rFonts w:hint="eastAsia" w:ascii="宋体" w:hAnsi="宋体"/>
          <w:b/>
          <w:sz w:val="30"/>
          <w:szCs w:val="30"/>
        </w:rPr>
        <w:t>建议办理单位：</w:t>
      </w:r>
    </w:p>
    <w:p>
      <w:pPr>
        <w:spacing w:line="440" w:lineRule="exact"/>
        <w:rPr>
          <w:rFonts w:ascii="宋体" w:hAnsi="宋体"/>
          <w:b/>
          <w:sz w:val="30"/>
          <w:szCs w:val="30"/>
        </w:rPr>
      </w:pPr>
      <w:r>
        <w:rPr>
          <w:rFonts w:ascii="宋体" w:hAnsi="宋体"/>
          <w:b/>
          <w:sz w:val="30"/>
          <w:szCs w:val="30"/>
        </w:rPr>
        <w:t>1.</w:t>
      </w:r>
      <w:r>
        <w:rPr>
          <w:rFonts w:hint="eastAsia" w:ascii="宋体" w:hAnsi="宋体"/>
          <w:b/>
          <w:sz w:val="30"/>
          <w:szCs w:val="30"/>
        </w:rPr>
        <w:t>番禺区</w:t>
      </w:r>
      <w:r>
        <w:rPr>
          <w:rFonts w:hint="eastAsia" w:ascii="宋体" w:hAnsi="宋体"/>
          <w:b/>
          <w:sz w:val="30"/>
          <w:szCs w:val="30"/>
          <w:lang w:val="en-US" w:eastAsia="zh-CN"/>
        </w:rPr>
        <w:t>教育</w:t>
      </w:r>
      <w:r>
        <w:rPr>
          <w:rFonts w:hint="eastAsia" w:ascii="宋体" w:hAnsi="宋体"/>
          <w:b/>
          <w:sz w:val="30"/>
          <w:szCs w:val="30"/>
        </w:rPr>
        <w:t>局</w:t>
      </w:r>
    </w:p>
    <w:p>
      <w:pPr>
        <w:spacing w:line="440" w:lineRule="exact"/>
        <w:rPr>
          <w:rFonts w:hint="eastAsia" w:ascii="宋体" w:hAnsi="宋体"/>
          <w:b/>
          <w:sz w:val="30"/>
          <w:szCs w:val="30"/>
        </w:rPr>
      </w:pPr>
      <w:r>
        <w:rPr>
          <w:rFonts w:hint="eastAsia" w:ascii="宋体" w:hAnsi="宋体"/>
          <w:b/>
          <w:sz w:val="30"/>
          <w:szCs w:val="30"/>
        </w:rPr>
        <w:t>2.番禺区国土资源和规划局</w:t>
      </w:r>
    </w:p>
    <w:p>
      <w:pPr>
        <w:spacing w:line="440" w:lineRule="exact"/>
        <w:rPr>
          <w:rFonts w:hint="eastAsia" w:ascii="宋体" w:hAnsi="宋体"/>
          <w:b/>
          <w:sz w:val="30"/>
          <w:szCs w:val="30"/>
        </w:rPr>
      </w:pPr>
      <w:r>
        <w:rPr>
          <w:rFonts w:hint="eastAsia" w:ascii="宋体" w:hAnsi="宋体"/>
          <w:b/>
          <w:sz w:val="30"/>
          <w:szCs w:val="30"/>
        </w:rPr>
        <w:t>3.番禺区</w:t>
      </w:r>
      <w:r>
        <w:rPr>
          <w:rFonts w:hint="eastAsia" w:ascii="宋体" w:hAnsi="宋体"/>
          <w:b/>
          <w:sz w:val="30"/>
          <w:szCs w:val="30"/>
          <w:lang w:val="en-US" w:eastAsia="zh-CN"/>
        </w:rPr>
        <w:t>城管</w:t>
      </w:r>
      <w:r>
        <w:rPr>
          <w:rFonts w:hint="eastAsia" w:ascii="宋体" w:hAnsi="宋体"/>
          <w:b/>
          <w:sz w:val="30"/>
          <w:szCs w:val="30"/>
        </w:rPr>
        <w:t>局</w:t>
      </w:r>
    </w:p>
    <w:p>
      <w:pPr>
        <w:spacing w:line="440" w:lineRule="exact"/>
        <w:rPr>
          <w:rFonts w:hint="default" w:ascii="宋体" w:hAnsi="宋体" w:eastAsia="宋体"/>
          <w:b/>
          <w:sz w:val="30"/>
          <w:szCs w:val="30"/>
          <w:lang w:val="en-US" w:eastAsia="zh-CN"/>
        </w:rPr>
      </w:pPr>
      <w:r>
        <w:rPr>
          <w:rFonts w:hint="eastAsia" w:ascii="宋体" w:hAnsi="宋体"/>
          <w:b/>
          <w:sz w:val="30"/>
          <w:szCs w:val="30"/>
          <w:lang w:val="en-US" w:eastAsia="zh-CN"/>
        </w:rPr>
        <w:t>4.</w:t>
      </w:r>
      <w:r>
        <w:rPr>
          <w:rFonts w:hint="eastAsia" w:ascii="宋体" w:hAnsi="宋体"/>
          <w:b/>
          <w:sz w:val="30"/>
          <w:szCs w:val="30"/>
        </w:rPr>
        <w:t>番禺区</w:t>
      </w:r>
      <w:r>
        <w:rPr>
          <w:rFonts w:hint="eastAsia" w:ascii="宋体" w:hAnsi="宋体"/>
          <w:b/>
          <w:sz w:val="30"/>
          <w:szCs w:val="30"/>
          <w:lang w:val="en-US" w:eastAsia="zh-CN"/>
        </w:rPr>
        <w:t>卫健局</w:t>
      </w:r>
    </w:p>
    <w:p>
      <w:pPr>
        <w:spacing w:line="440" w:lineRule="exact"/>
        <w:rPr>
          <w:rFonts w:hint="eastAsia" w:ascii="宋体" w:hAnsi="宋体"/>
          <w:b/>
          <w:sz w:val="30"/>
          <w:szCs w:val="30"/>
        </w:rPr>
      </w:pPr>
      <w:r>
        <w:rPr>
          <w:rFonts w:hint="eastAsia" w:ascii="宋体" w:hAnsi="宋体"/>
          <w:b/>
          <w:sz w:val="30"/>
          <w:szCs w:val="30"/>
          <w:lang w:val="en-US" w:eastAsia="zh-CN"/>
        </w:rPr>
        <w:t>5</w:t>
      </w:r>
      <w:r>
        <w:rPr>
          <w:rFonts w:hint="eastAsia" w:ascii="宋体" w:hAnsi="宋体"/>
          <w:b/>
          <w:sz w:val="30"/>
          <w:szCs w:val="30"/>
        </w:rPr>
        <w:t>.番禺区交通局</w:t>
      </w:r>
    </w:p>
    <w:p>
      <w:pPr>
        <w:spacing w:line="440" w:lineRule="exact"/>
        <w:rPr>
          <w:rFonts w:hint="eastAsia" w:ascii="宋体" w:hAnsi="宋体"/>
          <w:b/>
          <w:sz w:val="30"/>
          <w:szCs w:val="30"/>
          <w:lang w:val="en-US" w:eastAsia="zh-CN"/>
        </w:rPr>
      </w:pPr>
      <w:r>
        <w:rPr>
          <w:rFonts w:hint="eastAsia" w:ascii="宋体" w:hAnsi="宋体"/>
          <w:b/>
          <w:sz w:val="30"/>
          <w:szCs w:val="30"/>
          <w:lang w:val="en-US" w:eastAsia="zh-CN"/>
        </w:rPr>
        <w:t>6.番禺区旅游局</w:t>
      </w:r>
    </w:p>
    <w:p>
      <w:pPr>
        <w:spacing w:line="440" w:lineRule="exact"/>
        <w:rPr>
          <w:rFonts w:hint="eastAsia" w:ascii="宋体" w:hAnsi="宋体"/>
          <w:b/>
          <w:sz w:val="30"/>
          <w:szCs w:val="30"/>
          <w:lang w:val="en-US" w:eastAsia="zh-CN"/>
        </w:rPr>
      </w:pPr>
      <w:r>
        <w:rPr>
          <w:rFonts w:hint="eastAsia" w:ascii="宋体" w:hAnsi="宋体"/>
          <w:b/>
          <w:sz w:val="30"/>
          <w:szCs w:val="30"/>
          <w:lang w:val="en-US" w:eastAsia="zh-CN"/>
        </w:rPr>
        <w:t>7.番禺区科技和信息化局</w:t>
      </w:r>
    </w:p>
    <w:p>
      <w:pPr>
        <w:spacing w:line="440" w:lineRule="exact"/>
        <w:rPr>
          <w:rFonts w:hint="eastAsia" w:ascii="宋体" w:hAnsi="宋体"/>
          <w:b/>
          <w:sz w:val="30"/>
          <w:szCs w:val="30"/>
          <w:lang w:val="en-US" w:eastAsia="zh-CN"/>
        </w:rPr>
      </w:pPr>
      <w:r>
        <w:rPr>
          <w:rFonts w:hint="eastAsia" w:ascii="宋体" w:hAnsi="宋体"/>
          <w:b/>
          <w:sz w:val="30"/>
          <w:szCs w:val="30"/>
          <w:lang w:val="en-US" w:eastAsia="zh-CN"/>
        </w:rPr>
        <w:t>8.番禺区发展和改革局</w:t>
      </w:r>
    </w:p>
    <w:p>
      <w:pPr>
        <w:spacing w:line="440" w:lineRule="exact"/>
        <w:rPr>
          <w:rFonts w:hint="eastAsia" w:ascii="黑体" w:hAnsi="黑体" w:eastAsia="黑体" w:cs="黑体"/>
          <w:b w:val="0"/>
          <w:bCs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</w:rPr>
        <w:t>理由：</w:t>
      </w:r>
    </w:p>
    <w:p>
      <w:pPr>
        <w:pStyle w:val="2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近年来，我国数字经济总量步上新的台阶，从11万亿增长到25.8万亿，已经成为了推动国内经济发展的主引擎，伴随互联网技术的进一步发展，数字经济正在深刻地改变我们的生活。新基建涉及到通信、电力、交通、数字等多个社会民生重点行业，无论是5G基站建设，还是大数据中心，每一个领域身后都是万亿的大市场，对数字经济发展起着倍增带动作用，将为传统经济向数字经济转型发展提供动力，2019年中国电子商务交易额达34.81万亿元，线上零售额10.63万亿元。加快“新基建”助推智慧城市在以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数字经济为引领的现代产业体系的作用，推动形成双循环新发展格局，不仅在于提升经济水平，还在于帮助疫情后解决城市公共资源利用、居民生活质量、通勤搭地铁、坐公交，传染范围广、与灾难应急等多方面的问题。</w:t>
      </w:r>
    </w:p>
    <w:p>
      <w:pPr>
        <w:spacing w:line="560" w:lineRule="exact"/>
        <w:rPr>
          <w:rFonts w:hint="eastAsia" w:ascii="黑体" w:hAnsi="黑体" w:eastAsia="黑体" w:cs="黑体"/>
          <w:b w:val="0"/>
          <w:bCs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</w:rPr>
        <w:t>办法：</w:t>
      </w:r>
    </w:p>
    <w:p>
      <w:pPr>
        <w:numPr>
          <w:ilvl w:val="0"/>
          <w:numId w:val="1"/>
        </w:numPr>
        <w:spacing w:line="360" w:lineRule="auto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在数字产业方面，搭建企业需求有效对接高校科研合作平台。</w:t>
      </w:r>
      <w:r>
        <w:rPr>
          <w:rFonts w:hint="eastAsia" w:ascii="仿宋_GB2312" w:hAnsi="仿宋_GB2312" w:eastAsia="仿宋_GB2312" w:cs="仿宋_GB2312"/>
          <w:sz w:val="32"/>
          <w:szCs w:val="32"/>
        </w:rPr>
        <w:t>鼓励高校教师产研结合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为产研结合扫清制度障碍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企业主动和高校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对接</w:t>
      </w:r>
      <w:r>
        <w:rPr>
          <w:rFonts w:hint="eastAsia" w:ascii="仿宋_GB2312" w:hAnsi="仿宋_GB2312" w:eastAsia="仿宋_GB2312" w:cs="仿宋_GB2312"/>
          <w:sz w:val="32"/>
          <w:szCs w:val="32"/>
        </w:rPr>
        <w:t>，协同解决具体信息化应用和改造问题。鼓励企业运用信息化工具改造生产流程和管理决策流程，推动企业信息化改造的试点工作。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结合数字经济</w:t>
      </w:r>
      <w:r>
        <w:rPr>
          <w:rFonts w:hint="eastAsia" w:ascii="仿宋_GB2312" w:hAnsi="仿宋_GB2312" w:eastAsia="仿宋_GB2312" w:cs="仿宋_GB2312"/>
          <w:sz w:val="32"/>
          <w:szCs w:val="32"/>
        </w:rPr>
        <w:t>未来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的</w:t>
      </w:r>
      <w:r>
        <w:rPr>
          <w:rFonts w:hint="eastAsia" w:ascii="仿宋_GB2312" w:hAnsi="仿宋_GB2312" w:eastAsia="仿宋_GB2312" w:cs="仿宋_GB2312"/>
          <w:sz w:val="32"/>
          <w:szCs w:val="32"/>
        </w:rPr>
        <w:t>重点发展方向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牵头核心数据企业，了解数据应用中的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关键问题和主要</w:t>
      </w:r>
      <w:r>
        <w:rPr>
          <w:rFonts w:hint="eastAsia" w:ascii="仿宋_GB2312" w:hAnsi="仿宋_GB2312" w:eastAsia="仿宋_GB2312" w:cs="仿宋_GB2312"/>
          <w:sz w:val="32"/>
          <w:szCs w:val="32"/>
        </w:rPr>
        <w:t>矛盾，多部门推进数据立法工作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；</w:t>
      </w:r>
    </w:p>
    <w:p>
      <w:pPr>
        <w:numPr>
          <w:ilvl w:val="0"/>
          <w:numId w:val="1"/>
        </w:numPr>
        <w:spacing w:line="360" w:lineRule="auto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在数据共享方面，搭建一体化智慧平台，将政务数据、工业、金融、零售、房地产、医疗、教育、交通、贸易等行业数据、社会数据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等</w:t>
      </w:r>
      <w:r>
        <w:rPr>
          <w:rFonts w:hint="eastAsia" w:ascii="仿宋_GB2312" w:hAnsi="仿宋_GB2312" w:eastAsia="仿宋_GB2312" w:cs="仿宋_GB2312"/>
          <w:sz w:val="32"/>
          <w:szCs w:val="32"/>
        </w:rPr>
        <w:t>公共数据资源进行合理配置，使之可控、可预测，进而完善公共服务体系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例如：</w:t>
      </w:r>
      <w:r>
        <w:rPr>
          <w:rFonts w:hint="eastAsia" w:ascii="仿宋_GB2312" w:hAnsi="仿宋_GB2312" w:eastAsia="仿宋_GB2312" w:cs="仿宋_GB2312"/>
          <w:sz w:val="32"/>
          <w:szCs w:val="32"/>
        </w:rPr>
        <w:t>加快各大医疗机构的信息化建设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推动至少同级别医院间检查结果互认，在社区探索互联网医院试点，</w:t>
      </w:r>
      <w:r>
        <w:rPr>
          <w:rFonts w:hint="eastAsia" w:ascii="仿宋_GB2312" w:hAnsi="仿宋_GB2312" w:eastAsia="仿宋_GB2312" w:cs="仿宋_GB2312"/>
          <w:sz w:val="32"/>
          <w:szCs w:val="32"/>
        </w:rPr>
        <w:t>实现远程智能化分层分级诊疗服务，AI人工智能在医疗领域的影像分析、辅助诊断、手术诊疗、新药研发、流行病预测和防控等环节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应用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减轻医生工作强度，节约医疗成本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  <w:r>
        <w:rPr>
          <w:rFonts w:hint="eastAsia" w:ascii="仿宋_GB2312" w:hAnsi="仿宋_GB2312" w:eastAsia="仿宋_GB2312" w:cs="仿宋_GB2312"/>
          <w:sz w:val="32"/>
          <w:szCs w:val="32"/>
        </w:rPr>
        <w:t>尤其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是</w:t>
      </w:r>
      <w:r>
        <w:rPr>
          <w:rFonts w:hint="eastAsia" w:ascii="仿宋_GB2312" w:hAnsi="仿宋_GB2312" w:eastAsia="仿宋_GB2312" w:cs="仿宋_GB2312"/>
          <w:sz w:val="32"/>
          <w:szCs w:val="32"/>
        </w:rPr>
        <w:t>针对此次疫情，发挥智慧医疗的特色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实现线上咨询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；</w:t>
      </w:r>
      <w:r>
        <w:rPr>
          <w:rFonts w:hint="eastAsia" w:ascii="仿宋_GB2312" w:hAnsi="仿宋_GB2312" w:eastAsia="仿宋_GB2312" w:cs="仿宋_GB2312"/>
          <w:sz w:val="32"/>
          <w:szCs w:val="32"/>
        </w:rPr>
        <w:br w:type="textWrapping"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</w:rPr>
        <w:t>三、在硬件投入方面，通过智慧灯杆、智能电网、智能安防、智能交通、智能水电、智能金融等系统实现城市的基础设施升级，建成智慧灯杆统一管理平台，并推动智慧照明、智慧交通、智慧警务等一批智慧城市应用上杆。加快5G商用步伐以及推进5G网络和小区光纤入户网络覆盖工作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增</w:t>
      </w:r>
      <w:r>
        <w:rPr>
          <w:rFonts w:hint="eastAsia" w:ascii="仿宋_GB2312" w:hAnsi="仿宋_GB2312" w:eastAsia="仿宋_GB2312" w:cs="仿宋_GB2312"/>
          <w:sz w:val="32"/>
          <w:szCs w:val="32"/>
        </w:rPr>
        <w:t>加充电桩、换电站等设施，推广新能源汽车，激发新消费需求、助力产业升级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；</w:t>
      </w:r>
    </w:p>
    <w:p>
      <w:pPr>
        <w:spacing w:line="360" w:lineRule="auto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四、在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防疫用品</w:t>
      </w:r>
      <w:r>
        <w:rPr>
          <w:rFonts w:hint="eastAsia" w:ascii="仿宋_GB2312" w:hAnsi="仿宋_GB2312" w:eastAsia="仿宋_GB2312" w:cs="仿宋_GB2312"/>
          <w:sz w:val="32"/>
          <w:szCs w:val="32"/>
        </w:rPr>
        <w:t>方面，以公共卫生健康作为重点建设领域，积极引导防疫用品生产企业注重质量和品牌建设，提升产品技术和产品价值，提高企业竞争力，同时，规范防疫用品认证市场，以适应我国及出口目的国防疫用品准入要求等。积极发展跨境电商和“出海品牌”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；</w:t>
      </w:r>
      <w:r>
        <w:rPr>
          <w:rFonts w:hint="eastAsia" w:ascii="仿宋_GB2312" w:hAnsi="仿宋_GB2312" w:eastAsia="仿宋_GB2312" w:cs="仿宋_GB2312"/>
          <w:sz w:val="32"/>
          <w:szCs w:val="32"/>
        </w:rPr>
        <w:br w:type="textWrapping"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</w:rPr>
        <w:t>五、在“地摊经济”方面，建设数字智慧城管系统，提升城市管理部门工作效能。近期直播带货火爆，其实就是围绕：全网最低价！企业想在这么拼低价的市场里做品牌，可能比登天还难，政府需要采取更严厉的措施打击假冒伪劣、打击盗版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特别是网红的“山寨”产品，以</w:t>
      </w:r>
      <w:r>
        <w:rPr>
          <w:rFonts w:hint="eastAsia" w:ascii="仿宋_GB2312" w:hAnsi="仿宋_GB2312" w:eastAsia="仿宋_GB2312" w:cs="仿宋_GB2312"/>
          <w:sz w:val="32"/>
          <w:szCs w:val="32"/>
        </w:rPr>
        <w:t>更大力度保护知识产权，激发企业研发热情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；</w:t>
      </w:r>
    </w:p>
    <w:p>
      <w:pPr>
        <w:spacing w:line="360" w:lineRule="auto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六、</w:t>
      </w:r>
      <w:r>
        <w:rPr>
          <w:rFonts w:hint="eastAsia" w:ascii="仿宋_GB2312" w:hAnsi="仿宋_GB2312" w:eastAsia="仿宋_GB2312" w:cs="仿宋_GB2312"/>
          <w:sz w:val="32"/>
          <w:szCs w:val="32"/>
        </w:rPr>
        <w:t>在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智慧交通</w:t>
      </w:r>
      <w:r>
        <w:rPr>
          <w:rFonts w:hint="eastAsia" w:ascii="仿宋_GB2312" w:hAnsi="仿宋_GB2312" w:eastAsia="仿宋_GB2312" w:cs="仿宋_GB2312"/>
          <w:sz w:val="32"/>
          <w:szCs w:val="32"/>
        </w:rPr>
        <w:t>方面，打造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区</w:t>
      </w:r>
      <w:r>
        <w:rPr>
          <w:rFonts w:hint="eastAsia" w:ascii="仿宋_GB2312" w:hAnsi="仿宋_GB2312" w:eastAsia="仿宋_GB2312" w:cs="仿宋_GB2312"/>
          <w:sz w:val="32"/>
          <w:szCs w:val="32"/>
        </w:rPr>
        <w:t>级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交通</w:t>
      </w:r>
      <w:r>
        <w:rPr>
          <w:rFonts w:hint="eastAsia" w:ascii="仿宋_GB2312" w:hAnsi="仿宋_GB2312" w:eastAsia="仿宋_GB2312" w:cs="仿宋_GB2312"/>
          <w:sz w:val="32"/>
          <w:szCs w:val="32"/>
        </w:rPr>
        <w:t>大数据中心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帮助交警更加精准掌握整体交通态势和微观拥堵状况，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快速处理交通事故引起的道路加塞，</w:t>
      </w:r>
      <w:r>
        <w:rPr>
          <w:rFonts w:hint="eastAsia" w:ascii="仿宋_GB2312" w:hAnsi="仿宋_GB2312" w:eastAsia="仿宋_GB2312" w:cs="仿宋_GB2312"/>
          <w:sz w:val="32"/>
          <w:szCs w:val="32"/>
        </w:rPr>
        <w:t>进行更加精准的交通疏导和勤务安排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另外，</w:t>
      </w:r>
      <w:r>
        <w:rPr>
          <w:rFonts w:hint="eastAsia" w:ascii="仿宋_GB2312" w:hAnsi="仿宋_GB2312" w:eastAsia="仿宋_GB2312" w:cs="仿宋_GB2312"/>
          <w:sz w:val="32"/>
          <w:szCs w:val="32"/>
        </w:rPr>
        <w:t>通过大数据搜集各路口车流量，优化红绿灯调控时间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  <w:r>
        <w:rPr>
          <w:rFonts w:hint="eastAsia" w:ascii="仿宋_GB2312" w:hAnsi="仿宋_GB2312" w:eastAsia="仿宋_GB2312" w:cs="仿宋_GB2312"/>
          <w:sz w:val="32"/>
          <w:szCs w:val="32"/>
        </w:rPr>
        <w:t>把那些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在绿灯时</w:t>
      </w:r>
      <w:r>
        <w:rPr>
          <w:rFonts w:hint="eastAsia" w:ascii="仿宋_GB2312" w:hAnsi="仿宋_GB2312" w:eastAsia="仿宋_GB2312" w:cs="仿宋_GB2312"/>
          <w:sz w:val="32"/>
          <w:szCs w:val="32"/>
        </w:rPr>
        <w:t>没有车或极少车通行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的红绿灯时间</w:t>
      </w:r>
      <w:r>
        <w:rPr>
          <w:rFonts w:hint="eastAsia" w:ascii="仿宋_GB2312" w:hAnsi="仿宋_GB2312" w:eastAsia="仿宋_GB2312" w:cs="仿宋_GB2312"/>
          <w:sz w:val="32"/>
          <w:szCs w:val="32"/>
        </w:rPr>
        <w:t>重新设置，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缩短其他车道</w:t>
      </w:r>
      <w:r>
        <w:rPr>
          <w:rFonts w:hint="eastAsia" w:ascii="仿宋_GB2312" w:hAnsi="仿宋_GB2312" w:eastAsia="仿宋_GB2312" w:cs="仿宋_GB2312"/>
          <w:sz w:val="32"/>
          <w:szCs w:val="32"/>
        </w:rPr>
        <w:t>等待红灯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的</w:t>
      </w:r>
      <w:r>
        <w:rPr>
          <w:rFonts w:hint="eastAsia" w:ascii="仿宋_GB2312" w:hAnsi="仿宋_GB2312" w:eastAsia="仿宋_GB2312" w:cs="仿宋_GB2312"/>
          <w:sz w:val="32"/>
          <w:szCs w:val="32"/>
        </w:rPr>
        <w:t>时间，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以减少道路上因等待红绿灯的车辆，</w:t>
      </w:r>
      <w:r>
        <w:rPr>
          <w:rFonts w:hint="eastAsia" w:ascii="仿宋_GB2312" w:hAnsi="仿宋_GB2312" w:eastAsia="仿宋_GB2312" w:cs="仿宋_GB2312"/>
          <w:sz w:val="32"/>
          <w:szCs w:val="32"/>
        </w:rPr>
        <w:t>缓解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交通拥堵，例如：红灯120秒，绿灯20秒；最后，建议对中心城区路内停车泊位进行编号，实施智慧停车收费，缓解交通拥堵，逐步改进各大商场停车收费系统，实现先离场，后付费，有一个人不知道怎么付钱离开停车场，所有人都要排队。</w:t>
      </w:r>
    </w:p>
    <w:p>
      <w:pPr>
        <w:spacing w:line="360" w:lineRule="auto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七、在农村电商方面，</w:t>
      </w:r>
      <w:r>
        <w:rPr>
          <w:rFonts w:hint="eastAsia" w:ascii="仿宋_GB2312" w:hAnsi="仿宋_GB2312" w:eastAsia="仿宋_GB2312" w:cs="仿宋_GB2312"/>
          <w:sz w:val="32"/>
          <w:szCs w:val="32"/>
        </w:rPr>
        <w:t>通过创建电子商务进农村综合示范县，探索物流的无人化尝试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进一步推进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旅游+</w:t>
      </w:r>
      <w:r>
        <w:rPr>
          <w:rFonts w:hint="eastAsia" w:ascii="仿宋_GB2312" w:hAnsi="仿宋_GB2312" w:eastAsia="仿宋_GB2312" w:cs="仿宋_GB2312"/>
          <w:sz w:val="32"/>
          <w:szCs w:val="32"/>
        </w:rPr>
        <w:t>电商扶贫脱贫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提高农村地区宽带入网率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建立物流信息共享平台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，加大对农村从事电商人才的培训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等。</w:t>
      </w:r>
    </w:p>
    <w:p>
      <w:pPr>
        <w:spacing w:line="360" w:lineRule="auto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八、在经济内循环方面，通过引导机关、事业单位、国企、民企将春游、秋游、团建以及工会组织的疗养等集体活动，合理安排到番禺区内，也可将各类讲座、培训等活动，通过聘请相关专家、学者讲课，也安排到区内举办。同时，对带团在番禺区过夜的旅行社适当进行奖励，并在我区最繁华地段，策划各类美食或主题活动，类似东京拉面展，长达半个月的时间里，来自全国各地最有名的拉面店都在此亮相。此外，还可在酒店、民宿推出随心住活动，在一段时间不限次数居住等。</w:t>
      </w:r>
    </w:p>
    <w:p>
      <w:pPr>
        <w:pStyle w:val="2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pStyle w:val="2"/>
        <w:rPr>
          <w:rFonts w:hint="eastAsia"/>
        </w:rPr>
      </w:pPr>
    </w:p>
    <w:p/>
    <w:sectPr>
      <w:headerReference r:id="rId3" w:type="default"/>
      <w:footerReference r:id="rId4" w:type="default"/>
      <w:pgSz w:w="11906" w:h="16838"/>
      <w:pgMar w:top="1985" w:right="1474" w:bottom="1418" w:left="158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小标宋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2</w:t>
    </w:r>
    <w:r>
      <w:fldChar w:fldCharType="end"/>
    </w:r>
  </w:p>
  <w:p>
    <w:pPr>
      <w:pStyle w:val="5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2B1C8EA"/>
    <w:multiLevelType w:val="singleLevel"/>
    <w:tmpl w:val="22B1C8EA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34303B0"/>
    <w:rsid w:val="00554F41"/>
    <w:rsid w:val="04F62067"/>
    <w:rsid w:val="0CCE0048"/>
    <w:rsid w:val="11F87A9B"/>
    <w:rsid w:val="14B8187D"/>
    <w:rsid w:val="1BAA3C2A"/>
    <w:rsid w:val="1D970BFB"/>
    <w:rsid w:val="26EE5DA8"/>
    <w:rsid w:val="27946038"/>
    <w:rsid w:val="32385FAE"/>
    <w:rsid w:val="334303B0"/>
    <w:rsid w:val="33D4411B"/>
    <w:rsid w:val="36DB58C7"/>
    <w:rsid w:val="39C17CBB"/>
    <w:rsid w:val="3CAB2588"/>
    <w:rsid w:val="3EB82CF7"/>
    <w:rsid w:val="42116EF1"/>
    <w:rsid w:val="458C0282"/>
    <w:rsid w:val="4A320933"/>
    <w:rsid w:val="5AD97342"/>
    <w:rsid w:val="6FFA2FBA"/>
    <w:rsid w:val="70F3190F"/>
    <w:rsid w:val="72C03960"/>
    <w:rsid w:val="778024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spacing w:after="0" w:line="360" w:lineRule="auto"/>
      <w:ind w:left="0" w:leftChars="0" w:firstLine="1040" w:firstLineChars="200"/>
    </w:pPr>
    <w:rPr>
      <w:sz w:val="24"/>
    </w:rPr>
  </w:style>
  <w:style w:type="paragraph" w:styleId="3">
    <w:name w:val="Body Text Indent"/>
    <w:basedOn w:val="1"/>
    <w:qFormat/>
    <w:uiPriority w:val="0"/>
    <w:pPr>
      <w:ind w:firstLine="645"/>
    </w:pPr>
    <w:rPr>
      <w:rFonts w:ascii="仿宋_GB2312" w:eastAsia="仿宋_GB2312"/>
      <w:sz w:val="32"/>
    </w:rPr>
  </w:style>
  <w:style w:type="paragraph" w:styleId="5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9">
    <w:name w:val="Strong"/>
    <w:basedOn w:val="8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7</TotalTime>
  <ScaleCrop>false</ScaleCrop>
  <LinksUpToDate>false</LinksUpToDate>
  <CharactersWithSpaces>0</CharactersWithSpaces>
  <Application>WPS Office_11.8.2.10321_F1E327BC-269C-435d-A152-05C5408002CA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2020-12-16T12:55:00Z</dcterms:created>
  <dc:creator>Administrator</dc:creator>
  <cp:lastModifiedBy>user</cp:lastModifiedBy>
  <dcterms:modified xsi:type="dcterms:W3CDTF">2023-08-09T03:35:38Z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2052-11.8.2.10321</vt:lpwstr>
  </property>
</Properties>
</file>