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hAnsi="宋体"/>
          <w:sz w:val="32"/>
          <w:szCs w:val="32"/>
        </w:rPr>
      </w:pPr>
      <w:r>
        <w:rPr>
          <w:rFonts w:hint="eastAsia" w:ascii="宋体" w:hAnsi="宋体"/>
          <w:sz w:val="32"/>
          <w:szCs w:val="32"/>
        </w:rPr>
        <w:t>第</w:t>
      </w:r>
      <w:r>
        <w:rPr>
          <w:rFonts w:hint="eastAsia" w:ascii="宋体" w:hAnsi="宋体"/>
          <w:i/>
          <w:iCs/>
          <w:sz w:val="32"/>
          <w:szCs w:val="32"/>
          <w:u w:val="single"/>
          <w:lang w:val="en-US" w:eastAsia="zh-CN"/>
        </w:rPr>
        <w:t xml:space="preserve">  </w:t>
      </w:r>
      <w:r>
        <w:rPr>
          <w:rFonts w:hint="eastAsia" w:ascii="宋体" w:hAnsi="宋体"/>
          <w:i w:val="0"/>
          <w:iCs w:val="0"/>
          <w:sz w:val="32"/>
          <w:szCs w:val="32"/>
          <w:u w:val="single"/>
          <w:lang w:val="en-US" w:eastAsia="zh-CN"/>
        </w:rPr>
        <w:t xml:space="preserve">42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番禺区政协十四届五次会议提案</w:t>
      </w:r>
    </w:p>
    <w:tbl>
      <w:tblPr>
        <w:tblStyle w:val="5"/>
        <w:tblW w:w="8636" w:type="dxa"/>
        <w:tblInd w:w="-1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0"/>
        <w:gridCol w:w="2718"/>
        <w:gridCol w:w="412"/>
        <w:gridCol w:w="1250"/>
        <w:gridCol w:w="890"/>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题目</w:t>
            </w:r>
          </w:p>
        </w:tc>
        <w:tc>
          <w:tcPr>
            <w:tcW w:w="6596" w:type="dxa"/>
            <w:gridSpan w:val="5"/>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ascii="FangSong_GB2312" w:hAnsi="宋体" w:eastAsia="FangSong_GB2312"/>
                <w:sz w:val="32"/>
                <w:szCs w:val="32"/>
              </w:rPr>
              <w:t>开展城市体检，</w:t>
            </w:r>
            <w:r>
              <w:rPr>
                <w:rFonts w:hint="eastAsia" w:ascii="FangSong_GB2312" w:hAnsi="宋体" w:eastAsia="FangSong_GB2312"/>
                <w:sz w:val="32"/>
                <w:szCs w:val="32"/>
              </w:rPr>
              <w:t>精准治理“城市病”，</w:t>
            </w:r>
            <w:r>
              <w:rPr>
                <w:rFonts w:ascii="FangSong_GB2312" w:hAnsi="宋体" w:eastAsia="FangSong_GB2312"/>
                <w:sz w:val="32"/>
                <w:szCs w:val="32"/>
              </w:rPr>
              <w:t>建设“</w:t>
            </w:r>
            <w:r>
              <w:rPr>
                <w:rFonts w:hint="eastAsia" w:ascii="FangSong_GB2312" w:hAnsi="宋体" w:eastAsia="FangSong_GB2312"/>
                <w:sz w:val="32"/>
                <w:szCs w:val="32"/>
              </w:rPr>
              <w:t>幸福</w:t>
            </w:r>
            <w:r>
              <w:rPr>
                <w:rFonts w:ascii="FangSong_GB2312" w:hAnsi="宋体" w:eastAsia="FangSong_GB2312"/>
                <w:sz w:val="32"/>
                <w:szCs w:val="32"/>
              </w:rPr>
              <w:t>美丽</w:t>
            </w:r>
            <w:r>
              <w:rPr>
                <w:rFonts w:hint="eastAsia" w:ascii="FangSong_GB2312" w:hAnsi="宋体" w:eastAsia="FangSong_GB2312"/>
                <w:sz w:val="32"/>
                <w:szCs w:val="32"/>
              </w:rPr>
              <w:t>番禺</w:t>
            </w:r>
            <w:r>
              <w:rPr>
                <w:rFonts w:ascii="FangSong_GB2312" w:hAnsi="宋体" w:eastAsia="FangSong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提案者</w:t>
            </w:r>
          </w:p>
        </w:tc>
        <w:tc>
          <w:tcPr>
            <w:tcW w:w="313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九三学社番禺委员会</w:t>
            </w:r>
          </w:p>
        </w:tc>
        <w:tc>
          <w:tcPr>
            <w:tcW w:w="1250"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联系人</w:t>
            </w:r>
          </w:p>
        </w:tc>
        <w:tc>
          <w:tcPr>
            <w:tcW w:w="2216" w:type="dxa"/>
            <w:gridSpan w:val="2"/>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李东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工作单位</w:t>
            </w:r>
          </w:p>
        </w:tc>
        <w:tc>
          <w:tcPr>
            <w:tcW w:w="3130"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广州市番禺水务投资集团有限公司</w:t>
            </w:r>
          </w:p>
        </w:tc>
        <w:tc>
          <w:tcPr>
            <w:tcW w:w="1250"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职务</w:t>
            </w:r>
          </w:p>
        </w:tc>
        <w:tc>
          <w:tcPr>
            <w:tcW w:w="2216"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董事、副总经理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4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手机号码</w:t>
            </w:r>
          </w:p>
        </w:tc>
        <w:tc>
          <w:tcPr>
            <w:tcW w:w="2718"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p>
        </w:tc>
        <w:tc>
          <w:tcPr>
            <w:tcW w:w="1662"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办公电话</w:t>
            </w:r>
          </w:p>
        </w:tc>
        <w:tc>
          <w:tcPr>
            <w:tcW w:w="2216" w:type="dxa"/>
            <w:gridSpan w:val="2"/>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0" w:type="dxa"/>
            <w:tcBorders>
              <w:top w:val="single" w:color="auto" w:sz="4" w:space="0"/>
              <w:left w:val="single" w:color="auto" w:sz="4" w:space="0"/>
              <w:bottom w:val="single" w:color="auto" w:sz="4" w:space="0"/>
              <w:right w:val="single" w:color="auto" w:sz="4" w:space="0"/>
            </w:tcBorders>
          </w:tcPr>
          <w:p>
            <w:pPr>
              <w:spacing w:line="680" w:lineRule="exact"/>
              <w:jc w:val="center"/>
              <w:rPr>
                <w:rFonts w:ascii="FangSong_GB2312" w:hAnsi="宋体" w:eastAsia="FangSong_GB2312"/>
                <w:sz w:val="32"/>
                <w:szCs w:val="32"/>
              </w:rPr>
            </w:pPr>
            <w:r>
              <w:rPr>
                <w:rFonts w:hint="eastAsia" w:ascii="FangSong_GB2312" w:hAnsi="宋体" w:eastAsia="FangSong_GB2312"/>
                <w:sz w:val="32"/>
                <w:szCs w:val="32"/>
              </w:rPr>
              <w:t>通讯地址</w:t>
            </w:r>
          </w:p>
        </w:tc>
        <w:tc>
          <w:tcPr>
            <w:tcW w:w="4380" w:type="dxa"/>
            <w:gridSpan w:val="3"/>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p>
        </w:tc>
        <w:tc>
          <w:tcPr>
            <w:tcW w:w="890"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r>
              <w:rPr>
                <w:rFonts w:hint="eastAsia" w:ascii="FangSong_GB2312" w:hAnsi="宋体" w:eastAsia="FangSong_GB2312"/>
                <w:sz w:val="32"/>
                <w:szCs w:val="32"/>
              </w:rPr>
              <w:t>邮编</w:t>
            </w:r>
          </w:p>
        </w:tc>
        <w:tc>
          <w:tcPr>
            <w:tcW w:w="1326" w:type="dxa"/>
            <w:tcBorders>
              <w:top w:val="single" w:color="auto" w:sz="4" w:space="0"/>
              <w:left w:val="single" w:color="auto" w:sz="4" w:space="0"/>
              <w:bottom w:val="single" w:color="auto" w:sz="4" w:space="0"/>
              <w:right w:val="single" w:color="auto" w:sz="4" w:space="0"/>
            </w:tcBorders>
          </w:tcPr>
          <w:p>
            <w:pPr>
              <w:spacing w:line="680" w:lineRule="exact"/>
              <w:rPr>
                <w:rFonts w:ascii="FangSong_GB2312" w:hAnsi="宋体" w:eastAsia="FangSong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204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FangSong_GB2312" w:hAnsi="宋体" w:eastAsia="FangSong_GB2312"/>
                <w:sz w:val="32"/>
                <w:szCs w:val="32"/>
              </w:rPr>
            </w:pPr>
            <w:r>
              <w:rPr>
                <w:rFonts w:hint="eastAsia" w:ascii="FangSong_GB2312" w:hAnsi="宋体" w:eastAsia="FangSong_GB2312"/>
                <w:sz w:val="32"/>
                <w:szCs w:val="32"/>
              </w:rPr>
              <w:t>联名提案人</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FangSong_GB2312" w:hAnsi="宋体" w:eastAsia="FangSong_GB2312"/>
                <w:spacing w:val="-14"/>
                <w:sz w:val="32"/>
                <w:szCs w:val="32"/>
              </w:rPr>
            </w:pPr>
            <w:r>
              <w:rPr>
                <w:rFonts w:hint="eastAsia" w:ascii="FangSong_GB2312" w:hAnsi="宋体" w:eastAsia="FangSong_GB2312"/>
                <w:spacing w:val="-14"/>
                <w:sz w:val="32"/>
                <w:szCs w:val="32"/>
              </w:rPr>
              <w:t>（如</w:t>
            </w:r>
            <w:r>
              <w:rPr>
                <w:rFonts w:hint="eastAsia" w:ascii="FangSong_GB2312" w:hAnsi="宋体" w:eastAsia="FangSong_GB2312"/>
                <w:spacing w:val="-14"/>
                <w:sz w:val="28"/>
                <w:szCs w:val="28"/>
              </w:rPr>
              <w:t>人数较多，可另附于文后</w:t>
            </w:r>
            <w:r>
              <w:rPr>
                <w:rFonts w:hint="eastAsia" w:ascii="FangSong_GB2312" w:hAnsi="宋体" w:eastAsia="FangSong_GB2312"/>
                <w:spacing w:val="-14"/>
                <w:sz w:val="32"/>
                <w:szCs w:val="32"/>
              </w:rPr>
              <w:t>）</w:t>
            </w:r>
          </w:p>
        </w:tc>
        <w:tc>
          <w:tcPr>
            <w:tcW w:w="6596" w:type="dxa"/>
            <w:gridSpan w:val="5"/>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FangSong_GB2312" w:hAnsi="宋体" w:eastAsia="FangSong_GB2312"/>
                <w:sz w:val="32"/>
                <w:szCs w:val="32"/>
              </w:rPr>
            </w:pPr>
            <w:r>
              <w:rPr>
                <w:rFonts w:hint="eastAsia" w:asciiTheme="minorEastAsia" w:hAnsiTheme="minorEastAsia" w:eastAsiaTheme="minorEastAsia"/>
                <w:sz w:val="32"/>
                <w:szCs w:val="32"/>
              </w:rPr>
              <w:t>周建中、周志、徐乐、傅红卫、陈红艳、李东、邓青、曾媛、郭添添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40"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FangSong_GB2312" w:hAnsi="宋体" w:eastAsia="FangSong_GB2312"/>
                <w:sz w:val="32"/>
                <w:szCs w:val="32"/>
              </w:rPr>
            </w:pPr>
            <w:r>
              <w:rPr>
                <w:rFonts w:hint="eastAsia" w:ascii="FangSong_GB2312" w:hAnsi="宋体" w:eastAsia="FangSong_GB2312"/>
                <w:sz w:val="32"/>
                <w:szCs w:val="32"/>
              </w:rPr>
              <w:t>提案委员会</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ascii="FangSong_GB2312" w:hAnsi="宋体" w:eastAsia="FangSong_GB2312"/>
                <w:sz w:val="32"/>
                <w:szCs w:val="32"/>
              </w:rPr>
            </w:pPr>
            <w:r>
              <w:rPr>
                <w:rFonts w:hint="eastAsia" w:ascii="FangSong_GB2312" w:hAnsi="宋体" w:eastAsia="FangSong_GB2312"/>
                <w:sz w:val="32"/>
                <w:szCs w:val="32"/>
              </w:rPr>
              <w:t>审查意见</w:t>
            </w:r>
          </w:p>
        </w:tc>
        <w:tc>
          <w:tcPr>
            <w:tcW w:w="6596" w:type="dxa"/>
            <w:gridSpan w:val="5"/>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FangSong_GB2312" w:hAnsi="宋体" w:eastAsia="FangSong_GB2312"/>
                <w:sz w:val="32"/>
                <w:szCs w:val="32"/>
              </w:rPr>
            </w:pPr>
          </w:p>
        </w:tc>
      </w:tr>
    </w:tbl>
    <w:p>
      <w:pPr>
        <w:spacing w:line="560" w:lineRule="exact"/>
        <w:rPr>
          <w:rFonts w:ascii="黑体" w:hAnsi="黑体" w:eastAsia="黑体"/>
          <w:sz w:val="32"/>
          <w:szCs w:val="32"/>
        </w:rPr>
      </w:pPr>
      <w:r>
        <w:rPr>
          <w:rFonts w:hint="eastAsia" w:ascii="黑体" w:hAnsi="黑体" w:eastAsia="黑体"/>
          <w:sz w:val="32"/>
          <w:szCs w:val="32"/>
        </w:rPr>
        <w:t>根据实际情况在○内打勾确认：</w:t>
      </w:r>
      <w:bookmarkStart w:id="0" w:name="_GoBack"/>
      <w:bookmarkEnd w:id="0"/>
    </w:p>
    <w:p>
      <w:pPr>
        <w:spacing w:line="440" w:lineRule="exact"/>
        <w:rPr>
          <w:rFonts w:ascii="宋体" w:hAnsi="宋体"/>
          <w:b/>
          <w:sz w:val="30"/>
          <w:szCs w:val="30"/>
        </w:rPr>
      </w:pPr>
      <w:r>
        <w:rPr>
          <w:rFonts w:hint="eastAsia" w:ascii="宋体" w:hAnsi="宋体"/>
          <w:b/>
          <w:sz w:val="30"/>
          <w:szCs w:val="30"/>
        </w:rPr>
        <w:t>是否同意公开：</w:t>
      </w:r>
    </w:p>
    <w:p>
      <w:pPr>
        <w:spacing w:line="440" w:lineRule="exact"/>
        <w:rPr>
          <w:rFonts w:ascii="宋体"/>
          <w:sz w:val="30"/>
          <w:szCs w:val="30"/>
        </w:rPr>
      </w:pPr>
      <w:r>
        <w:rPr>
          <w:rFonts w:hint="eastAsia" w:ascii="宋体" w:hAnsi="宋体"/>
          <w:sz w:val="30"/>
          <w:szCs w:val="30"/>
        </w:rPr>
        <w:t>√是○否</w:t>
      </w:r>
    </w:p>
    <w:p>
      <w:pPr>
        <w:spacing w:line="440" w:lineRule="exact"/>
        <w:rPr>
          <w:rFonts w:ascii="宋体" w:hAnsi="宋体"/>
          <w:b/>
          <w:sz w:val="30"/>
          <w:szCs w:val="30"/>
        </w:rPr>
      </w:pPr>
      <w:r>
        <w:rPr>
          <w:rFonts w:hint="eastAsia" w:ascii="宋体" w:hAnsi="宋体"/>
          <w:b/>
          <w:sz w:val="30"/>
          <w:szCs w:val="30"/>
        </w:rPr>
        <w:t>建议办理单位：</w:t>
      </w:r>
    </w:p>
    <w:p>
      <w:pPr>
        <w:numPr>
          <w:ilvl w:val="0"/>
          <w:numId w:val="1"/>
        </w:numPr>
        <w:spacing w:line="440" w:lineRule="exact"/>
        <w:rPr>
          <w:rFonts w:ascii="宋体" w:hAnsi="宋体"/>
          <w:b/>
          <w:sz w:val="30"/>
          <w:szCs w:val="30"/>
        </w:rPr>
      </w:pPr>
      <w:r>
        <w:rPr>
          <w:rFonts w:hint="eastAsia" w:ascii="宋体" w:hAnsi="宋体"/>
          <w:b/>
          <w:sz w:val="30"/>
          <w:szCs w:val="30"/>
        </w:rPr>
        <w:t>番禺区住建局</w:t>
      </w:r>
    </w:p>
    <w:p>
      <w:pPr>
        <w:numPr>
          <w:ilvl w:val="0"/>
          <w:numId w:val="1"/>
        </w:numPr>
        <w:spacing w:line="440" w:lineRule="exact"/>
        <w:rPr>
          <w:rFonts w:ascii="宋体" w:hAnsi="宋体"/>
          <w:b/>
          <w:sz w:val="30"/>
          <w:szCs w:val="30"/>
        </w:rPr>
      </w:pPr>
      <w:r>
        <w:fldChar w:fldCharType="begin"/>
      </w:r>
      <w:r>
        <w:instrText xml:space="preserve"> HYPERLINK "http://www.baidu.com/link?url=Vnba4SRw0PQoGYiUhYNA8cXgfZqBqe1yVv0iy_P2D4VzKyxnzgx5OUvTogN69l2EIj_iR2nMVK1F3Ebm40L1yPBPycQpjFfX26bLbUxYPY-3ZNHPKm40a1ti6xmUe-B5" \t "https://www.baidu.com/_blank" </w:instrText>
      </w:r>
      <w:r>
        <w:fldChar w:fldCharType="separate"/>
      </w:r>
      <w:r>
        <w:rPr>
          <w:rFonts w:hint="eastAsia" w:ascii="宋体" w:hAnsi="宋体"/>
          <w:b/>
          <w:sz w:val="30"/>
          <w:szCs w:val="30"/>
        </w:rPr>
        <w:t>市规划和自然资源局番禺区分局</w:t>
      </w:r>
      <w:r>
        <w:rPr>
          <w:rFonts w:hint="eastAsia" w:ascii="宋体" w:hAnsi="宋体"/>
          <w:b/>
          <w:sz w:val="30"/>
          <w:szCs w:val="30"/>
        </w:rPr>
        <w:fldChar w:fldCharType="end"/>
      </w:r>
    </w:p>
    <w:p>
      <w:pPr>
        <w:numPr>
          <w:ilvl w:val="0"/>
          <w:numId w:val="1"/>
        </w:numPr>
        <w:spacing w:line="440" w:lineRule="exact"/>
        <w:rPr>
          <w:rFonts w:ascii="宋体" w:hAnsi="宋体"/>
          <w:b/>
          <w:sz w:val="30"/>
          <w:szCs w:val="30"/>
        </w:rPr>
      </w:pPr>
      <w:r>
        <w:rPr>
          <w:rFonts w:hint="eastAsia" w:ascii="宋体" w:hAnsi="宋体"/>
          <w:b/>
          <w:sz w:val="30"/>
          <w:szCs w:val="30"/>
        </w:rPr>
        <w:t>番禺区交通局</w:t>
      </w:r>
    </w:p>
    <w:p>
      <w:pPr>
        <w:numPr>
          <w:ilvl w:val="0"/>
          <w:numId w:val="1"/>
        </w:numPr>
        <w:spacing w:line="440" w:lineRule="exact"/>
        <w:rPr>
          <w:rFonts w:ascii="宋体" w:hAnsi="宋体"/>
          <w:b/>
          <w:sz w:val="30"/>
          <w:szCs w:val="30"/>
        </w:rPr>
      </w:pPr>
      <w:r>
        <w:rPr>
          <w:rFonts w:hint="eastAsia" w:ascii="宋体" w:hAnsi="宋体"/>
          <w:b/>
          <w:sz w:val="30"/>
          <w:szCs w:val="30"/>
        </w:rPr>
        <w:t>番禺区水务局</w:t>
      </w:r>
    </w:p>
    <w:p>
      <w:pPr>
        <w:numPr>
          <w:ilvl w:val="0"/>
          <w:numId w:val="1"/>
        </w:numPr>
        <w:spacing w:line="440" w:lineRule="exact"/>
        <w:rPr>
          <w:rFonts w:ascii="宋体" w:hAnsi="宋体"/>
          <w:b/>
          <w:sz w:val="30"/>
          <w:szCs w:val="30"/>
        </w:rPr>
      </w:pPr>
      <w:r>
        <w:rPr>
          <w:rFonts w:hint="eastAsia" w:ascii="宋体" w:hAnsi="宋体"/>
          <w:b/>
          <w:sz w:val="30"/>
          <w:szCs w:val="30"/>
        </w:rPr>
        <w:t>番禺区交警大队</w:t>
      </w:r>
    </w:p>
    <w:p>
      <w:pPr>
        <w:spacing w:line="440" w:lineRule="exact"/>
        <w:rPr>
          <w:rFonts w:ascii="黑体" w:hAnsi="黑体" w:eastAsia="黑体"/>
          <w:b/>
          <w:sz w:val="32"/>
          <w:szCs w:val="32"/>
        </w:rPr>
      </w:pPr>
      <w:r>
        <w:rPr>
          <w:rFonts w:hint="eastAsia" w:ascii="黑体" w:hAnsi="黑体" w:eastAsia="黑体"/>
          <w:b/>
          <w:sz w:val="32"/>
          <w:szCs w:val="32"/>
        </w:rPr>
        <w:t>......</w:t>
      </w:r>
    </w:p>
    <w:p>
      <w:pPr>
        <w:spacing w:line="440" w:lineRule="exact"/>
        <w:rPr>
          <w:rFonts w:ascii="黑体" w:hAnsi="黑体" w:eastAsia="黑体"/>
          <w:b/>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黑体" w:hAnsi="黑体" w:eastAsia="黑体"/>
          <w:b/>
          <w:sz w:val="32"/>
          <w:szCs w:val="32"/>
        </w:rPr>
      </w:pPr>
      <w:r>
        <w:rPr>
          <w:rFonts w:hint="eastAsia" w:ascii="黑体" w:hAnsi="黑体" w:eastAsia="黑体"/>
          <w:b/>
          <w:sz w:val="32"/>
          <w:szCs w:val="32"/>
        </w:rPr>
        <w:t>理由：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为进一步贯彻落实中央城市工作会议精神，2019年</w:t>
      </w:r>
      <w:r>
        <w:rPr>
          <w:rFonts w:ascii="FangSong_GB2312" w:eastAsia="FangSong_GB2312" w:cs="FangSong_GB2312"/>
          <w:sz w:val="32"/>
          <w:szCs w:val="32"/>
        </w:rPr>
        <w:t>初，</w:t>
      </w:r>
      <w:r>
        <w:rPr>
          <w:rFonts w:hint="eastAsia" w:ascii="FangSong_GB2312" w:eastAsia="FangSong_GB2312" w:cs="FangSong_GB2312"/>
          <w:sz w:val="32"/>
          <w:szCs w:val="32"/>
        </w:rPr>
        <w:t>住房城乡建设部决定在部分城市开展城市体检试点工作，探索评估城市发展中的“城市病”和改善城市治理的做法，为今后全面推行做好准备。4月，根据住建部意见并经广州市政府同意，广州市申报成为全国首批11个试点城市之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城市体检是</w:t>
      </w:r>
      <w:r>
        <w:rPr>
          <w:rFonts w:hint="eastAsia" w:ascii="FangSong_GB2312" w:eastAsia="FangSong_GB2312"/>
          <w:sz w:val="32"/>
          <w:szCs w:val="32"/>
        </w:rPr>
        <w:t>从生态宜居、城市特色、交通便捷、生活舒适、多</w:t>
      </w:r>
      <w:r>
        <w:rPr>
          <w:rFonts w:hint="eastAsia" w:ascii="FangSong_GB2312" w:eastAsia="FangSong_GB2312" w:cs="FangSong_GB2312"/>
          <w:sz w:val="32"/>
          <w:szCs w:val="32"/>
        </w:rPr>
        <w:t>元包容、安全韧性、城市活力、社会满意度等8个方面，构建42项体检指标体系，对城市发展状况展开评价。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2019年，广州市已完成城市自体检并上报住房城乡建设部，体检结论为：我市在5个方面表现较好，同时存在5大“城市病”以及8大城市问题。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表现好的5个方面：一是生态宜居评价良好；二是历史文化特色明显；三是公共交通体系完善；四是城市安全形势向好；五是人口经济活力充沛。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5大“城市病”：一是高峰期交通拥堵；二是垃圾分类体系不健全；三是科技创新能力与城市定位不匹配；四是空间开发强度不均；五是积水内涝严重。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8大城市问题：一是局部地区治安严峻；二是应急避护场所不足；三是交通事故局部多发；四是历史文化资源活化利用不足；五是无障碍设施缺乏统筹；六是幼儿入园难；七是养老服务不均衡；八是完整社区有待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2020年广州市将重点开展各区“城市体检”工作，推动市区联动、以区为主的体检和治理机制，按属地</w:t>
      </w:r>
      <w:r>
        <w:rPr>
          <w:rFonts w:ascii="FangSong_GB2312" w:eastAsia="FangSong_GB2312" w:cs="FangSong_GB2312"/>
          <w:sz w:val="32"/>
          <w:szCs w:val="32"/>
        </w:rPr>
        <w:t>管理</w:t>
      </w:r>
      <w:r>
        <w:rPr>
          <w:rFonts w:hint="eastAsia" w:ascii="FangSong_GB2312" w:eastAsia="FangSong_GB2312" w:cs="FangSong_GB2312"/>
          <w:sz w:val="32"/>
          <w:szCs w:val="32"/>
        </w:rPr>
        <w:t>由各区具体落实，边检边改，逐步消除各类城市问题。因此，番禺应提早做好准备迎接“体检”。</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b/>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ascii="黑体" w:hAnsi="黑体" w:eastAsia="黑体"/>
          <w:b/>
          <w:sz w:val="32"/>
          <w:szCs w:val="32"/>
        </w:rPr>
      </w:pPr>
      <w:r>
        <w:rPr>
          <w:rFonts w:hint="eastAsia" w:ascii="黑体" w:hAnsi="黑体" w:eastAsia="黑体"/>
          <w:b/>
          <w:sz w:val="32"/>
          <w:szCs w:val="32"/>
        </w:rPr>
        <w:t>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番禺应</w:t>
      </w:r>
      <w:r>
        <w:rPr>
          <w:rFonts w:hint="eastAsia" w:ascii="FangSong_GB2312" w:eastAsia="FangSong_GB2312"/>
          <w:color w:val="000000"/>
          <w:kern w:val="0"/>
          <w:sz w:val="32"/>
          <w:szCs w:val="32"/>
        </w:rPr>
        <w:t>充分运用好广州市体检工作成果，将5大城市病、8大城市问题的治理工作落实到各相关部门，提前开展城市自体检工作，具体如下：</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建议番禺区政府组织相关职能部门研究学习广州市城市体检工作的具体实施方案，并组建番禺区城市体检技术团队，以广州市体检指标体系为依据，针对番禺目前实际情况进行全面评价，合理诊判“城市病”，提出综合治理措施，</w:t>
      </w:r>
      <w:r>
        <w:rPr>
          <w:rFonts w:ascii="FangSong_GB2312" w:eastAsia="FangSong_GB2312" w:cs="FangSong_GB2312"/>
          <w:sz w:val="32"/>
          <w:szCs w:val="32"/>
        </w:rPr>
        <w:t>形成工作报告</w:t>
      </w:r>
      <w:r>
        <w:rPr>
          <w:rFonts w:hint="eastAsia" w:ascii="FangSong_GB2312" w:eastAsia="FangSong_GB2312" w:cs="FangSong_GB2312"/>
          <w:sz w:val="32"/>
          <w:szCs w:val="32"/>
        </w:rPr>
        <w:t>，提出番禺急需解决的突出城市问题。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olor w:val="000000"/>
          <w:kern w:val="0"/>
          <w:sz w:val="32"/>
          <w:szCs w:val="32"/>
        </w:rPr>
        <w:t>结合番禺财政资金及城市问题轻重缓急，建立全区城市体检整改实施计划，确定建设资金、建设内容及时序等。</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建立番禺区城市体检领导小组，发挥统筹协调的作用，促进各项问题的解决和落实，推动各项治理措施纳入各部门的</w:t>
      </w:r>
      <w:r>
        <w:rPr>
          <w:rFonts w:ascii="FangSong_GB2312" w:eastAsia="FangSong_GB2312" w:cs="FangSong_GB2312"/>
          <w:sz w:val="32"/>
          <w:szCs w:val="32"/>
        </w:rPr>
        <w:t>工作</w:t>
      </w:r>
      <w:r>
        <w:rPr>
          <w:rFonts w:hint="eastAsia" w:ascii="FangSong_GB2312" w:eastAsia="FangSong_GB2312" w:cs="FangSong_GB2312"/>
          <w:sz w:val="32"/>
          <w:szCs w:val="32"/>
        </w:rPr>
        <w:t>计划。</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olor w:val="000000"/>
          <w:kern w:val="0"/>
          <w:sz w:val="32"/>
          <w:szCs w:val="32"/>
        </w:rPr>
        <w:t>检查中发现的问题，即检即改、边检边改。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outlineLvl w:val="9"/>
        <w:rPr>
          <w:rFonts w:ascii="FangSong_GB2312" w:eastAsia="FangSong_GB2312" w:cs="FangSong_GB2312"/>
          <w:sz w:val="32"/>
          <w:szCs w:val="32"/>
        </w:rPr>
      </w:pPr>
      <w:r>
        <w:rPr>
          <w:rFonts w:hint="eastAsia" w:ascii="FangSong_GB2312" w:eastAsia="FangSong_GB2312" w:cs="FangSong_GB2312"/>
          <w:sz w:val="32"/>
          <w:szCs w:val="32"/>
        </w:rPr>
        <w:t>建立检查督办机制，督促各单位定期报送治理进展和成效等，我区</w:t>
      </w:r>
      <w:r>
        <w:rPr>
          <w:rFonts w:ascii="FangSong_GB2312" w:eastAsia="FangSong_GB2312" w:cs="FangSong_GB2312"/>
          <w:sz w:val="32"/>
          <w:szCs w:val="32"/>
        </w:rPr>
        <w:t>及时</w:t>
      </w:r>
      <w:r>
        <w:rPr>
          <w:rFonts w:hint="eastAsia" w:ascii="FangSong_GB2312" w:eastAsia="FangSong_GB2312" w:cs="FangSong_GB2312"/>
          <w:sz w:val="32"/>
          <w:szCs w:val="32"/>
        </w:rPr>
        <w:t>汇总</w:t>
      </w:r>
      <w:r>
        <w:rPr>
          <w:rFonts w:ascii="FangSong_GB2312" w:eastAsia="FangSong_GB2312" w:cs="FangSong_GB2312"/>
          <w:sz w:val="32"/>
          <w:szCs w:val="32"/>
        </w:rPr>
        <w:t>上</w:t>
      </w:r>
      <w:r>
        <w:rPr>
          <w:rFonts w:hint="eastAsia" w:ascii="FangSong_GB2312" w:eastAsia="FangSong_GB2312" w:cs="FangSong_GB2312"/>
          <w:sz w:val="32"/>
          <w:szCs w:val="32"/>
        </w:rPr>
        <w:t>报。</w:t>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9"/>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3000509000000000000"/>
    <w:charset w:val="86"/>
    <w:family w:val="script"/>
    <w:pitch w:val="default"/>
    <w:sig w:usb0="00000000" w:usb1="00000000" w:usb2="00000000" w:usb3="00000000" w:csb0="00040000" w:csb1="00000000"/>
  </w:font>
  <w:font w:name="FangSong_GB2312">
    <w:altName w:val="仿宋_GB2312"/>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84B828"/>
    <w:multiLevelType w:val="singleLevel"/>
    <w:tmpl w:val="A284B828"/>
    <w:lvl w:ilvl="0" w:tentative="0">
      <w:start w:val="1"/>
      <w:numFmt w:val="chineseCounting"/>
      <w:suff w:val="nothing"/>
      <w:lvlText w:val="%1、"/>
      <w:lvlJc w:val="left"/>
      <w:rPr>
        <w:rFonts w:hint="eastAsia"/>
      </w:rPr>
    </w:lvl>
  </w:abstractNum>
  <w:abstractNum w:abstractNumId="1">
    <w:nsid w:val="1BD5E918"/>
    <w:multiLevelType w:val="singleLevel"/>
    <w:tmpl w:val="1BD5E918"/>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0F859EE"/>
    <w:rsid w:val="001F4DB8"/>
    <w:rsid w:val="0025691A"/>
    <w:rsid w:val="007D5280"/>
    <w:rsid w:val="00834AFA"/>
    <w:rsid w:val="008A10C5"/>
    <w:rsid w:val="009227A4"/>
    <w:rsid w:val="00A927FA"/>
    <w:rsid w:val="00E21D58"/>
    <w:rsid w:val="00EC5D89"/>
    <w:rsid w:val="00FC670D"/>
    <w:rsid w:val="40B403D2"/>
    <w:rsid w:val="512F4E24"/>
    <w:rsid w:val="5F39508D"/>
    <w:rsid w:val="61970D80"/>
    <w:rsid w:val="70F859EE"/>
    <w:rsid w:val="77A60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0"/>
    <w:pPr>
      <w:spacing w:beforeAutospacing="1" w:afterAutospacing="1"/>
      <w:jc w:val="left"/>
      <w:outlineLvl w:val="2"/>
    </w:pPr>
    <w:rPr>
      <w:rFonts w:hint="eastAsia" w:ascii="宋体" w:hAnsi="宋体"/>
      <w:b/>
      <w:kern w:val="0"/>
      <w:sz w:val="27"/>
      <w:szCs w:val="27"/>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3</Pages>
  <Words>224</Words>
  <Characters>1281</Characters>
  <Lines>10</Lines>
  <Paragraphs>3</Paragraphs>
  <TotalTime>12</TotalTime>
  <ScaleCrop>false</ScaleCrop>
  <LinksUpToDate>false</LinksUpToDate>
  <CharactersWithSpaces>1502</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2019-12-18T05:28:00Z</dcterms:created>
  <dc:creator>添添</dc:creator>
  <cp:lastModifiedBy>user</cp:lastModifiedBy>
  <dcterms:modified xsi:type="dcterms:W3CDTF">2022-11-15T08:31:08Z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