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160" w:firstLineChars="50"/>
        <w:rPr>
          <w:rFonts w:eastAsia="宋体"/>
          <w:sz w:val="30"/>
        </w:rPr>
      </w:pPr>
      <w:r>
        <w:t xml:space="preserve">                                       </w:t>
      </w:r>
      <w:r>
        <w:rPr>
          <w:rFonts w:hint="eastAsia"/>
        </w:rPr>
        <w:t xml:space="preserve">  </w:t>
      </w:r>
      <w:r>
        <w:t xml:space="preserve"> </w:t>
      </w:r>
      <w:r>
        <w:rPr>
          <w:rFonts w:hint="eastAsia" w:eastAsia="宋体"/>
          <w:sz w:val="30"/>
        </w:rPr>
        <w:t>第</w:t>
      </w:r>
      <w:r>
        <w:rPr>
          <w:rFonts w:eastAsia="宋体"/>
          <w:sz w:val="30"/>
          <w:u w:val="single"/>
        </w:rPr>
        <w:t xml:space="preserve">   </w:t>
      </w:r>
      <w:r>
        <w:rPr>
          <w:rFonts w:hint="eastAsia" w:eastAsia="宋体"/>
          <w:sz w:val="30"/>
          <w:u w:val="single"/>
          <w:lang w:val="en-US" w:eastAsia="zh-CN"/>
        </w:rPr>
        <w:t>39</w:t>
      </w:r>
      <w:r>
        <w:rPr>
          <w:rFonts w:eastAsia="宋体"/>
          <w:sz w:val="30"/>
          <w:u w:val="single"/>
        </w:rPr>
        <w:t xml:space="preserve">  </w:t>
      </w:r>
      <w:r>
        <w:rPr>
          <w:rFonts w:hint="eastAsia" w:eastAsia="宋体"/>
          <w:sz w:val="30"/>
        </w:rPr>
        <w:t>号</w:t>
      </w:r>
    </w:p>
    <w:p>
      <w:pPr>
        <w:spacing w:line="520" w:lineRule="exact"/>
        <w:rPr>
          <w:sz w:val="30"/>
        </w:rPr>
      </w:pPr>
    </w:p>
    <w:p>
      <w:pPr>
        <w:spacing w:line="520" w:lineRule="exact"/>
        <w:ind w:left="-18" w:leftChars="-29" w:hanging="75"/>
        <w:jc w:val="center"/>
        <w:rPr>
          <w:rFonts w:ascii="黑体" w:eastAsia="黑体"/>
          <w:spacing w:val="-20"/>
          <w:sz w:val="48"/>
        </w:rPr>
      </w:pPr>
      <w:r>
        <w:rPr>
          <w:rFonts w:hint="eastAsia" w:ascii="黑体" w:eastAsia="黑体"/>
          <w:spacing w:val="-20"/>
          <w:sz w:val="48"/>
        </w:rPr>
        <w:t>广州市番禺区政协十四届五次会议提案</w:t>
      </w:r>
    </w:p>
    <w:p>
      <w:pPr>
        <w:spacing w:line="520" w:lineRule="exact"/>
        <w:jc w:val="center"/>
        <w:rPr>
          <w:rFonts w:eastAsia="宋体"/>
          <w:szCs w:val="32"/>
        </w:rPr>
      </w:pPr>
      <w:r>
        <w:rPr>
          <w:rFonts w:eastAsia="宋体"/>
          <w:szCs w:val="32"/>
        </w:rPr>
        <w:t xml:space="preserve">                                           </w:t>
      </w:r>
    </w:p>
    <w:tbl>
      <w:tblPr>
        <w:tblStyle w:val="8"/>
        <w:tblW w:w="9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36"/>
        <w:gridCol w:w="2233"/>
        <w:gridCol w:w="1153"/>
        <w:gridCol w:w="1398"/>
        <w:gridCol w:w="1477"/>
        <w:gridCol w:w="12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8"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b/>
              </w:rPr>
            </w:pPr>
            <w:r>
              <w:rPr>
                <w:rFonts w:hint="eastAsia" w:asciiTheme="majorEastAsia" w:hAnsiTheme="majorEastAsia" w:eastAsiaTheme="majorEastAsia"/>
                <w:b/>
                <w:bCs/>
              </w:rPr>
              <w:t>案</w:t>
            </w:r>
            <w:r>
              <w:rPr>
                <w:rFonts w:asciiTheme="majorEastAsia" w:hAnsiTheme="majorEastAsia" w:eastAsiaTheme="majorEastAsia"/>
                <w:b/>
                <w:bCs/>
              </w:rPr>
              <w:t xml:space="preserve"> </w:t>
            </w:r>
            <w:r>
              <w:rPr>
                <w:rFonts w:hint="eastAsia" w:asciiTheme="majorEastAsia" w:hAnsiTheme="majorEastAsia" w:eastAsiaTheme="majorEastAsia"/>
                <w:b/>
                <w:bCs/>
              </w:rPr>
              <w:t>由</w:t>
            </w:r>
          </w:p>
        </w:tc>
        <w:tc>
          <w:tcPr>
            <w:tcW w:w="7465" w:type="dxa"/>
            <w:gridSpan w:val="5"/>
            <w:tcBorders>
              <w:top w:val="single" w:color="auto" w:sz="4" w:space="0"/>
              <w:left w:val="single" w:color="auto" w:sz="4" w:space="0"/>
              <w:bottom w:val="nil"/>
              <w:right w:val="single" w:color="auto" w:sz="4" w:space="0"/>
            </w:tcBorders>
            <w:vAlign w:val="center"/>
          </w:tcPr>
          <w:p>
            <w:pPr>
              <w:pStyle w:val="2"/>
              <w:spacing w:before="0" w:beforeAutospacing="0" w:after="0" w:afterAutospacing="0" w:line="660" w:lineRule="atLeast"/>
              <w:rPr>
                <w:rFonts w:cs="宋体" w:asciiTheme="majorEastAsia" w:hAnsiTheme="majorEastAsia" w:eastAsiaTheme="majorEastAsia"/>
                <w:spacing w:val="-20"/>
                <w:sz w:val="32"/>
                <w:szCs w:val="32"/>
              </w:rPr>
            </w:pPr>
            <w:r>
              <w:rPr>
                <w:rFonts w:hint="eastAsia" w:cs="宋体" w:asciiTheme="majorEastAsia" w:hAnsiTheme="majorEastAsia" w:eastAsiaTheme="majorEastAsia"/>
                <w:b w:val="0"/>
                <w:bCs w:val="0"/>
                <w:color w:val="000000"/>
                <w:sz w:val="32"/>
                <w:szCs w:val="32"/>
              </w:rPr>
              <w:t>关于解决海鸥大桥拥堵,提升周边环境的建议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rPr>
            </w:pPr>
            <w:r>
              <w:rPr>
                <w:rFonts w:hint="eastAsia" w:asciiTheme="majorEastAsia" w:hAnsiTheme="majorEastAsia" w:eastAsiaTheme="majorEastAsia"/>
              </w:rPr>
              <w:t>提 案 者</w:t>
            </w:r>
          </w:p>
        </w:tc>
        <w:tc>
          <w:tcPr>
            <w:tcW w:w="7465" w:type="dxa"/>
            <w:gridSpan w:val="5"/>
            <w:tcBorders>
              <w:top w:val="single" w:color="auto" w:sz="4" w:space="0"/>
              <w:left w:val="single" w:color="auto" w:sz="4" w:space="0"/>
              <w:bottom w:val="single" w:color="auto" w:sz="4" w:space="0"/>
              <w:right w:val="single" w:color="auto" w:sz="4" w:space="0"/>
            </w:tcBorders>
            <w:vAlign w:val="center"/>
          </w:tcPr>
          <w:p>
            <w:pPr>
              <w:spacing w:line="500" w:lineRule="exact"/>
              <w:rPr>
                <w:rFonts w:asciiTheme="majorEastAsia" w:hAnsiTheme="majorEastAsia" w:eastAsiaTheme="majorEastAsia"/>
                <w:spacing w:val="-20"/>
              </w:rPr>
            </w:pPr>
            <w:r>
              <w:rPr>
                <w:rFonts w:hint="eastAsia" w:asciiTheme="majorEastAsia" w:hAnsiTheme="majorEastAsia" w:eastAsiaTheme="majorEastAsia"/>
                <w:spacing w:val="-20"/>
              </w:rPr>
              <w:t>赵汝渠（香港组）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rPr>
            </w:pPr>
            <w:r>
              <w:rPr>
                <w:rFonts w:hint="eastAsia" w:asciiTheme="majorEastAsia" w:hAnsiTheme="majorEastAsia" w:eastAsiaTheme="majorEastAsia"/>
              </w:rPr>
              <w:t>个人提案</w:t>
            </w:r>
          </w:p>
        </w:tc>
        <w:tc>
          <w:tcPr>
            <w:tcW w:w="22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spacing w:val="-20"/>
              </w:rPr>
            </w:pPr>
            <w:r>
              <w:rPr>
                <w:rFonts w:hint="eastAsia" w:asciiTheme="majorEastAsia" w:hAnsiTheme="majorEastAsia" w:eastAsiaTheme="majorEastAsia"/>
              </w:rPr>
              <w:t>单位</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spacing w:val="-20"/>
              </w:rPr>
            </w:pPr>
            <w:r>
              <w:rPr>
                <w:rFonts w:hint="eastAsia" w:asciiTheme="majorEastAsia" w:hAnsiTheme="majorEastAsia" w:eastAsiaTheme="majorEastAsia"/>
                <w:spacing w:val="-20"/>
              </w:rPr>
              <w:t>广州市高比电梯装饰工程有限公司</w:t>
            </w:r>
          </w:p>
        </w:tc>
        <w:tc>
          <w:tcPr>
            <w:tcW w:w="1477" w:type="dxa"/>
            <w:tcBorders>
              <w:top w:val="single" w:color="auto" w:sz="4" w:space="0"/>
              <w:left w:val="single" w:color="auto" w:sz="4" w:space="0"/>
              <w:bottom w:val="single" w:color="auto" w:sz="4" w:space="0"/>
              <w:right w:val="single" w:color="auto" w:sz="4" w:space="0"/>
            </w:tcBorders>
            <w:vAlign w:val="center"/>
          </w:tcPr>
          <w:p>
            <w:pPr>
              <w:spacing w:line="520" w:lineRule="exact"/>
              <w:ind w:firstLine="140" w:firstLineChars="50"/>
              <w:jc w:val="center"/>
              <w:rPr>
                <w:rFonts w:asciiTheme="majorEastAsia" w:hAnsiTheme="majorEastAsia" w:eastAsiaTheme="majorEastAsia"/>
                <w:spacing w:val="-20"/>
              </w:rPr>
            </w:pPr>
            <w:r>
              <w:rPr>
                <w:rFonts w:hint="eastAsia" w:asciiTheme="majorEastAsia" w:hAnsiTheme="majorEastAsia" w:eastAsiaTheme="majorEastAsia"/>
                <w:spacing w:val="-20"/>
              </w:rPr>
              <w:t>职</w:t>
            </w:r>
            <w:r>
              <w:rPr>
                <w:rFonts w:asciiTheme="majorEastAsia" w:hAnsiTheme="majorEastAsia" w:eastAsiaTheme="majorEastAsia"/>
                <w:spacing w:val="-20"/>
              </w:rPr>
              <w:t xml:space="preserve"> </w:t>
            </w:r>
            <w:r>
              <w:rPr>
                <w:rFonts w:hint="eastAsia" w:asciiTheme="majorEastAsia" w:hAnsiTheme="majorEastAsia" w:eastAsiaTheme="majorEastAsia"/>
                <w:spacing w:val="-20"/>
              </w:rPr>
              <w:t>务</w:t>
            </w:r>
          </w:p>
        </w:tc>
        <w:tc>
          <w:tcPr>
            <w:tcW w:w="120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spacing w:val="-20"/>
              </w:rPr>
            </w:pPr>
            <w:r>
              <w:rPr>
                <w:rFonts w:hint="eastAsia" w:asciiTheme="majorEastAsia" w:hAnsiTheme="majorEastAsia" w:eastAsiaTheme="majorEastAsia"/>
                <w:spacing w:val="-20"/>
              </w:rPr>
              <w:t>董事长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rPr>
            </w:pPr>
            <w:r>
              <w:rPr>
                <w:rFonts w:hint="eastAsia" w:asciiTheme="majorEastAsia" w:hAnsiTheme="majorEastAsia" w:eastAsiaTheme="majorEastAsia"/>
              </w:rPr>
              <w:t>集体提案</w:t>
            </w:r>
          </w:p>
        </w:tc>
        <w:tc>
          <w:tcPr>
            <w:tcW w:w="2233" w:type="dxa"/>
            <w:tcBorders>
              <w:top w:val="single" w:color="auto" w:sz="4" w:space="0"/>
              <w:left w:val="single" w:color="auto" w:sz="4" w:space="0"/>
              <w:bottom w:val="single" w:color="auto" w:sz="4" w:space="0"/>
              <w:right w:val="single" w:color="auto" w:sz="4" w:space="0"/>
            </w:tcBorders>
          </w:tcPr>
          <w:p>
            <w:pPr>
              <w:spacing w:line="520" w:lineRule="exact"/>
              <w:jc w:val="center"/>
              <w:rPr>
                <w:rFonts w:asciiTheme="majorEastAsia" w:hAnsiTheme="majorEastAsia" w:eastAsiaTheme="majorEastAsia"/>
                <w:spacing w:val="-20"/>
              </w:rPr>
            </w:pPr>
            <w:r>
              <w:rPr>
                <w:rFonts w:hint="eastAsia" w:asciiTheme="majorEastAsia" w:hAnsiTheme="majorEastAsia" w:eastAsiaTheme="majorEastAsia"/>
                <w:spacing w:val="-20"/>
              </w:rPr>
              <w:t>联系人</w:t>
            </w:r>
          </w:p>
        </w:tc>
        <w:tc>
          <w:tcPr>
            <w:tcW w:w="1153" w:type="dxa"/>
            <w:tcBorders>
              <w:top w:val="single" w:color="auto" w:sz="4" w:space="0"/>
              <w:left w:val="single" w:color="auto" w:sz="4" w:space="0"/>
              <w:bottom w:val="single" w:color="auto" w:sz="4" w:space="0"/>
              <w:right w:val="single" w:color="auto" w:sz="4" w:space="0"/>
            </w:tcBorders>
          </w:tcPr>
          <w:p>
            <w:pPr>
              <w:spacing w:line="520" w:lineRule="exact"/>
              <w:rPr>
                <w:rFonts w:asciiTheme="majorEastAsia" w:hAnsiTheme="majorEastAsia" w:eastAsiaTheme="majorEastAsia"/>
                <w:spacing w:val="-20"/>
              </w:rPr>
            </w:pPr>
            <w:bookmarkStart w:id="0" w:name="_GoBack"/>
            <w:bookmarkEnd w:id="0"/>
          </w:p>
        </w:tc>
        <w:tc>
          <w:tcPr>
            <w:tcW w:w="1398" w:type="dxa"/>
            <w:tcBorders>
              <w:top w:val="single" w:color="auto" w:sz="4" w:space="0"/>
              <w:left w:val="single" w:color="auto" w:sz="4" w:space="0"/>
              <w:bottom w:val="single" w:color="auto" w:sz="4" w:space="0"/>
              <w:right w:val="single" w:color="auto" w:sz="4" w:space="0"/>
            </w:tcBorders>
          </w:tcPr>
          <w:p>
            <w:pPr>
              <w:spacing w:line="520" w:lineRule="exact"/>
              <w:rPr>
                <w:rFonts w:asciiTheme="majorEastAsia" w:hAnsiTheme="majorEastAsia" w:eastAsiaTheme="majorEastAsia"/>
                <w:spacing w:val="-20"/>
              </w:rPr>
            </w:pPr>
            <w:r>
              <w:rPr>
                <w:rFonts w:hint="eastAsia" w:asciiTheme="majorEastAsia" w:hAnsiTheme="majorEastAsia" w:eastAsiaTheme="majorEastAsia"/>
                <w:spacing w:val="-20"/>
              </w:rPr>
              <w:t>单位职务</w:t>
            </w:r>
          </w:p>
        </w:tc>
        <w:tc>
          <w:tcPr>
            <w:tcW w:w="2681" w:type="dxa"/>
            <w:gridSpan w:val="2"/>
            <w:tcBorders>
              <w:top w:val="single" w:color="auto" w:sz="4" w:space="0"/>
              <w:left w:val="single" w:color="auto" w:sz="4" w:space="0"/>
              <w:bottom w:val="single" w:color="auto" w:sz="4" w:space="0"/>
              <w:right w:val="single" w:color="auto" w:sz="4" w:space="0"/>
            </w:tcBorders>
          </w:tcPr>
          <w:p>
            <w:pPr>
              <w:spacing w:line="520" w:lineRule="exact"/>
              <w:rPr>
                <w:rFonts w:asciiTheme="majorEastAsia" w:hAnsiTheme="majorEastAsia" w:eastAsiaTheme="majorEastAsia"/>
                <w:spacing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1"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rPr>
            </w:pPr>
            <w:r>
              <w:rPr>
                <w:rFonts w:hint="eastAsia" w:asciiTheme="majorEastAsia" w:hAnsiTheme="majorEastAsia" w:eastAsiaTheme="majorEastAsia"/>
              </w:rPr>
              <w:t>电  话</w:t>
            </w:r>
          </w:p>
        </w:tc>
        <w:tc>
          <w:tcPr>
            <w:tcW w:w="3386" w:type="dxa"/>
            <w:gridSpan w:val="2"/>
            <w:tcBorders>
              <w:top w:val="single" w:color="auto" w:sz="4" w:space="0"/>
              <w:left w:val="single" w:color="auto" w:sz="4" w:space="0"/>
              <w:bottom w:val="single" w:color="auto" w:sz="4" w:space="0"/>
              <w:right w:val="single" w:color="auto" w:sz="4" w:space="0"/>
            </w:tcBorders>
          </w:tcPr>
          <w:p>
            <w:pPr>
              <w:spacing w:line="520" w:lineRule="exact"/>
              <w:jc w:val="center"/>
              <w:rPr>
                <w:rFonts w:asciiTheme="majorEastAsia" w:hAnsiTheme="majorEastAsia" w:eastAsiaTheme="majorEastAsia"/>
                <w:spacing w:val="-20"/>
              </w:rPr>
            </w:pPr>
          </w:p>
        </w:tc>
        <w:tc>
          <w:tcPr>
            <w:tcW w:w="1398" w:type="dxa"/>
            <w:tcBorders>
              <w:top w:val="single" w:color="auto" w:sz="4" w:space="0"/>
              <w:left w:val="single" w:color="auto" w:sz="4" w:space="0"/>
              <w:bottom w:val="single" w:color="auto" w:sz="4" w:space="0"/>
              <w:right w:val="single" w:color="auto" w:sz="4" w:space="0"/>
            </w:tcBorders>
          </w:tcPr>
          <w:p>
            <w:pPr>
              <w:spacing w:line="520" w:lineRule="exact"/>
              <w:ind w:firstLine="280" w:firstLineChars="100"/>
              <w:rPr>
                <w:rFonts w:asciiTheme="majorEastAsia" w:hAnsiTheme="majorEastAsia" w:eastAsiaTheme="majorEastAsia"/>
                <w:spacing w:val="-20"/>
              </w:rPr>
            </w:pPr>
            <w:r>
              <w:rPr>
                <w:rFonts w:hint="eastAsia" w:asciiTheme="majorEastAsia" w:hAnsiTheme="majorEastAsia" w:eastAsiaTheme="majorEastAsia"/>
                <w:spacing w:val="-20"/>
              </w:rPr>
              <w:t>手</w:t>
            </w:r>
            <w:r>
              <w:rPr>
                <w:rFonts w:asciiTheme="majorEastAsia" w:hAnsiTheme="majorEastAsia" w:eastAsiaTheme="majorEastAsia"/>
                <w:spacing w:val="-20"/>
              </w:rPr>
              <w:t xml:space="preserve"> </w:t>
            </w:r>
            <w:r>
              <w:rPr>
                <w:rFonts w:hint="eastAsia" w:asciiTheme="majorEastAsia" w:hAnsiTheme="majorEastAsia" w:eastAsiaTheme="majorEastAsia"/>
                <w:spacing w:val="-20"/>
              </w:rPr>
              <w:t>机</w:t>
            </w:r>
          </w:p>
        </w:tc>
        <w:tc>
          <w:tcPr>
            <w:tcW w:w="2681" w:type="dxa"/>
            <w:gridSpan w:val="2"/>
            <w:tcBorders>
              <w:top w:val="single" w:color="auto" w:sz="4" w:space="0"/>
              <w:left w:val="single" w:color="auto" w:sz="4" w:space="0"/>
              <w:bottom w:val="single" w:color="auto" w:sz="4" w:space="0"/>
              <w:right w:val="single" w:color="auto" w:sz="4" w:space="0"/>
            </w:tcBorders>
          </w:tcPr>
          <w:p>
            <w:pPr>
              <w:spacing w:line="520" w:lineRule="exact"/>
              <w:ind w:firstLine="420" w:firstLineChars="150"/>
              <w:rPr>
                <w:rFonts w:asciiTheme="majorEastAsia" w:hAnsiTheme="majorEastAsia" w:eastAsiaTheme="majorEastAsia"/>
                <w:spacing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rPr>
            </w:pPr>
            <w:r>
              <w:rPr>
                <w:rFonts w:hint="eastAsia" w:asciiTheme="majorEastAsia" w:hAnsiTheme="majorEastAsia" w:eastAsiaTheme="majorEastAsia"/>
              </w:rPr>
              <w:t>通讯地址</w:t>
            </w:r>
          </w:p>
        </w:tc>
        <w:tc>
          <w:tcPr>
            <w:tcW w:w="4784" w:type="dxa"/>
            <w:gridSpan w:val="3"/>
            <w:tcBorders>
              <w:top w:val="single" w:color="auto" w:sz="4" w:space="0"/>
              <w:left w:val="single" w:color="auto" w:sz="4" w:space="0"/>
              <w:bottom w:val="single" w:color="auto" w:sz="4" w:space="0"/>
              <w:right w:val="single" w:color="auto" w:sz="4" w:space="0"/>
            </w:tcBorders>
          </w:tcPr>
          <w:p>
            <w:pPr>
              <w:spacing w:line="520" w:lineRule="exact"/>
              <w:rPr>
                <w:rFonts w:asciiTheme="majorEastAsia" w:hAnsiTheme="majorEastAsia" w:eastAsiaTheme="majorEastAsia"/>
                <w:spacing w:val="-20"/>
              </w:rPr>
            </w:pPr>
          </w:p>
        </w:tc>
        <w:tc>
          <w:tcPr>
            <w:tcW w:w="147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spacing w:val="-20"/>
              </w:rPr>
            </w:pPr>
            <w:r>
              <w:rPr>
                <w:rFonts w:hint="eastAsia" w:asciiTheme="majorEastAsia" w:hAnsiTheme="majorEastAsia" w:eastAsiaTheme="majorEastAsia"/>
                <w:spacing w:val="-20"/>
              </w:rPr>
              <w:t>邮</w:t>
            </w:r>
            <w:r>
              <w:rPr>
                <w:rFonts w:asciiTheme="majorEastAsia" w:hAnsiTheme="majorEastAsia" w:eastAsiaTheme="majorEastAsia"/>
                <w:spacing w:val="-20"/>
              </w:rPr>
              <w:t xml:space="preserve"> </w:t>
            </w:r>
            <w:r>
              <w:rPr>
                <w:rFonts w:hint="eastAsia" w:asciiTheme="majorEastAsia" w:hAnsiTheme="majorEastAsia" w:eastAsiaTheme="majorEastAsia"/>
                <w:spacing w:val="-20"/>
              </w:rPr>
              <w:t>编</w:t>
            </w:r>
          </w:p>
        </w:tc>
        <w:tc>
          <w:tcPr>
            <w:tcW w:w="120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Theme="majorEastAsia" w:hAnsiTheme="majorEastAsia" w:eastAsiaTheme="majorEastAsia"/>
                <w:spacing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Theme="majorEastAsia" w:hAnsiTheme="majorEastAsia" w:eastAsiaTheme="majorEastAsia"/>
              </w:rPr>
              <w:t>联名提案及   单位职务</w:t>
            </w:r>
          </w:p>
        </w:tc>
        <w:tc>
          <w:tcPr>
            <w:tcW w:w="7465" w:type="dxa"/>
            <w:gridSpan w:val="5"/>
            <w:tcBorders>
              <w:top w:val="single" w:color="auto" w:sz="4" w:space="0"/>
              <w:left w:val="single" w:color="auto" w:sz="4" w:space="0"/>
              <w:bottom w:val="single" w:color="auto" w:sz="4" w:space="0"/>
              <w:right w:val="single" w:color="auto" w:sz="4" w:space="0"/>
            </w:tcBorders>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Theme="majorEastAsia" w:hAnsiTheme="majorEastAsia" w:eastAsiaTheme="majorEastAsia"/>
              </w:rPr>
            </w:pPr>
            <w:r>
              <w:rPr>
                <w:rFonts w:hint="eastAsia" w:asciiTheme="majorEastAsia" w:hAnsiTheme="majorEastAsia" w:eastAsiaTheme="majorEastAsia"/>
              </w:rPr>
              <w:t>提案委</w:t>
            </w:r>
          </w:p>
          <w:p>
            <w:pPr>
              <w:jc w:val="center"/>
              <w:rPr>
                <w:rFonts w:asciiTheme="majorEastAsia" w:hAnsiTheme="majorEastAsia" w:eastAsiaTheme="majorEastAsia"/>
              </w:rPr>
            </w:pPr>
            <w:r>
              <w:rPr>
                <w:rFonts w:hint="eastAsia" w:asciiTheme="majorEastAsia" w:hAnsiTheme="majorEastAsia" w:eastAsiaTheme="majorEastAsia"/>
              </w:rPr>
              <w:t>审查意见</w:t>
            </w:r>
          </w:p>
        </w:tc>
        <w:tc>
          <w:tcPr>
            <w:tcW w:w="7465" w:type="dxa"/>
            <w:gridSpan w:val="5"/>
            <w:tcBorders>
              <w:top w:val="single" w:color="auto" w:sz="4" w:space="0"/>
              <w:left w:val="single" w:color="auto" w:sz="4" w:space="0"/>
              <w:bottom w:val="single" w:color="auto" w:sz="4" w:space="0"/>
              <w:right w:val="single" w:color="auto" w:sz="4" w:space="0"/>
            </w:tcBorders>
          </w:tcPr>
          <w:p>
            <w:pPr>
              <w:spacing w:line="520" w:lineRule="exact"/>
              <w:jc w:val="center"/>
              <w:rPr>
                <w:rFonts w:asciiTheme="majorEastAsia" w:hAnsiTheme="majorEastAsia" w:eastAsiaTheme="majorEastAsia"/>
              </w:rPr>
            </w:pPr>
          </w:p>
        </w:tc>
      </w:tr>
    </w:tbl>
    <w:p>
      <w:pPr>
        <w:spacing w:line="200" w:lineRule="exact"/>
        <w:rPr>
          <w:rFonts w:hint="eastAsia" w:eastAsia="黑体"/>
          <w:b/>
          <w:bCs/>
        </w:rPr>
      </w:pPr>
    </w:p>
    <w:p>
      <w:pPr>
        <w:spacing w:line="200" w:lineRule="exact"/>
        <w:rPr>
          <w:rFonts w:eastAsia="黑体"/>
          <w:b/>
          <w:bCs/>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eastAsia="黑体"/>
          <w:b/>
          <w:bCs/>
          <w:sz w:val="30"/>
          <w:szCs w:val="30"/>
        </w:rPr>
      </w:pPr>
      <w:r>
        <w:rPr>
          <w:rFonts w:hint="eastAsia" w:eastAsia="黑体"/>
          <w:b/>
          <w:bCs/>
          <w:sz w:val="30"/>
          <w:szCs w:val="30"/>
        </w:rPr>
        <w:t>理</w:t>
      </w:r>
      <w:r>
        <w:rPr>
          <w:rFonts w:eastAsia="黑体"/>
          <w:b/>
          <w:bCs/>
          <w:sz w:val="30"/>
          <w:szCs w:val="30"/>
        </w:rPr>
        <w:t xml:space="preserve"> </w:t>
      </w:r>
      <w:r>
        <w:rPr>
          <w:rFonts w:hint="eastAsia" w:eastAsia="黑体"/>
          <w:b/>
          <w:bCs/>
          <w:sz w:val="30"/>
          <w:szCs w:val="30"/>
        </w:rPr>
        <w:t>由：</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outlineLvl w:val="9"/>
        <w:rPr>
          <w:rFonts w:ascii="Arial" w:hAnsi="Arial" w:cs="Arial"/>
          <w:color w:val="333333"/>
          <w:sz w:val="30"/>
          <w:szCs w:val="30"/>
        </w:rPr>
      </w:pPr>
      <w:r>
        <w:rPr>
          <w:rFonts w:ascii="Arial" w:hAnsi="Arial" w:cs="Arial"/>
          <w:color w:val="333333"/>
          <w:sz w:val="30"/>
          <w:szCs w:val="30"/>
        </w:rPr>
        <w:t>海鸥岛位于广州</w:t>
      </w:r>
      <w:r>
        <w:fldChar w:fldCharType="begin"/>
      </w:r>
      <w:r>
        <w:instrText xml:space="preserve"> HYPERLINK "https://baike.baidu.com/item/%E7%95%AA%E7%A6%BA%E5%8C%BA" \t "_blank" </w:instrText>
      </w:r>
      <w:r>
        <w:fldChar w:fldCharType="separate"/>
      </w:r>
      <w:r>
        <w:rPr>
          <w:rFonts w:ascii="Arial" w:hAnsi="Arial" w:cs="Arial"/>
          <w:color w:val="136EC2"/>
          <w:sz w:val="30"/>
          <w:szCs w:val="30"/>
        </w:rPr>
        <w:t>番禺区</w:t>
      </w:r>
      <w:r>
        <w:rPr>
          <w:rFonts w:ascii="Arial" w:hAnsi="Arial" w:cs="Arial"/>
          <w:color w:val="136EC2"/>
          <w:sz w:val="30"/>
          <w:szCs w:val="30"/>
        </w:rPr>
        <w:fldChar w:fldCharType="end"/>
      </w:r>
      <w:r>
        <w:rPr>
          <w:rFonts w:ascii="Arial" w:hAnsi="Arial" w:cs="Arial"/>
          <w:color w:val="333333"/>
          <w:sz w:val="30"/>
          <w:szCs w:val="30"/>
        </w:rPr>
        <w:t>东郊，石楼镇东部，地处珠江入海口，面临</w:t>
      </w:r>
      <w:r>
        <w:fldChar w:fldCharType="begin"/>
      </w:r>
      <w:r>
        <w:instrText xml:space="preserve"> HYPERLINK "https://baike.baidu.com/item/%E7%8B%AE%E5%AD%90%E6%B4%8B" \t "_blank" </w:instrText>
      </w:r>
      <w:r>
        <w:fldChar w:fldCharType="separate"/>
      </w:r>
      <w:r>
        <w:rPr>
          <w:rFonts w:ascii="Arial" w:hAnsi="Arial" w:cs="Arial"/>
          <w:color w:val="136EC2"/>
          <w:sz w:val="30"/>
          <w:szCs w:val="30"/>
        </w:rPr>
        <w:t>狮子洋</w:t>
      </w:r>
      <w:r>
        <w:rPr>
          <w:rFonts w:ascii="Arial" w:hAnsi="Arial" w:cs="Arial"/>
          <w:color w:val="136EC2"/>
          <w:sz w:val="30"/>
          <w:szCs w:val="30"/>
        </w:rPr>
        <w:fldChar w:fldCharType="end"/>
      </w:r>
      <w:r>
        <w:rPr>
          <w:rFonts w:ascii="Arial" w:hAnsi="Arial" w:cs="Arial"/>
          <w:color w:val="333333"/>
          <w:sz w:val="30"/>
          <w:szCs w:val="30"/>
        </w:rPr>
        <w:t>，为珠江主航道和莲花山水道所环绕，是一个典型的由珠三角河流冲积而成的内河岛，全岛面积约36平方公里，岸线长37.96公里，辖海心、沙北、沙南、江鸥四个自然村</w:t>
      </w:r>
      <w:r>
        <w:rPr>
          <w:rFonts w:hint="eastAsia" w:ascii="Arial" w:hAnsi="Arial" w:cs="Arial"/>
          <w:color w:val="333333"/>
          <w:sz w:val="30"/>
          <w:szCs w:val="30"/>
        </w:rPr>
        <w:t>,</w:t>
      </w:r>
      <w:r>
        <w:rPr>
          <w:rFonts w:ascii="Arial" w:hAnsi="Arial" w:cs="Arial"/>
          <w:color w:val="333333"/>
          <w:sz w:val="30"/>
          <w:szCs w:val="30"/>
        </w:rPr>
        <w:t>共</w:t>
      </w:r>
      <w:r>
        <w:rPr>
          <w:rFonts w:hint="eastAsia" w:ascii="Arial" w:hAnsi="Arial" w:cs="Arial"/>
          <w:color w:val="333333"/>
          <w:sz w:val="30"/>
          <w:szCs w:val="30"/>
        </w:rPr>
        <w:t>2</w:t>
      </w:r>
      <w:r>
        <w:rPr>
          <w:rFonts w:ascii="Arial" w:hAnsi="Arial" w:cs="Arial"/>
          <w:color w:val="333333"/>
          <w:sz w:val="30"/>
          <w:szCs w:val="30"/>
        </w:rPr>
        <w:t>万</w:t>
      </w:r>
      <w:r>
        <w:rPr>
          <w:rFonts w:hint="eastAsia" w:ascii="Arial" w:hAnsi="Arial" w:cs="Arial"/>
          <w:color w:val="333333"/>
          <w:sz w:val="30"/>
          <w:szCs w:val="30"/>
        </w:rPr>
        <w:t>多</w:t>
      </w:r>
      <w:r>
        <w:rPr>
          <w:rFonts w:ascii="Arial" w:hAnsi="Arial" w:cs="Arial"/>
          <w:color w:val="333333"/>
          <w:sz w:val="30"/>
          <w:szCs w:val="30"/>
        </w:rPr>
        <w:t>常住人口。它毗邻广州、东莞、深圳，岛北端的海鸥大桥飞架</w:t>
      </w:r>
      <w:r>
        <w:fldChar w:fldCharType="begin"/>
      </w:r>
      <w:r>
        <w:instrText xml:space="preserve"> HYPERLINK "https://baike.baidu.com/item/%E8%8E%B2%E8%8A%B1%E5%B1%B1" \t "_blank" </w:instrText>
      </w:r>
      <w:r>
        <w:fldChar w:fldCharType="separate"/>
      </w:r>
      <w:r>
        <w:rPr>
          <w:rFonts w:ascii="Arial" w:hAnsi="Arial" w:cs="Arial"/>
          <w:color w:val="136EC2"/>
          <w:sz w:val="30"/>
          <w:szCs w:val="30"/>
        </w:rPr>
        <w:t>莲花山</w:t>
      </w:r>
      <w:r>
        <w:rPr>
          <w:rFonts w:ascii="Arial" w:hAnsi="Arial" w:cs="Arial"/>
          <w:color w:val="136EC2"/>
          <w:sz w:val="30"/>
          <w:szCs w:val="30"/>
        </w:rPr>
        <w:fldChar w:fldCharType="end"/>
      </w:r>
      <w:r>
        <w:rPr>
          <w:rFonts w:ascii="Arial" w:hAnsi="Arial" w:cs="Arial"/>
          <w:color w:val="333333"/>
          <w:sz w:val="30"/>
          <w:szCs w:val="30"/>
        </w:rPr>
        <w:t>水道与岛外连接相通。近年来，市、区重点推广发展海鸥岛乡村生态旅游，使海鸥岛的知名度大大提升，周末及节假日前来海鸥岛进行休闲观光的游客络绎不绝，给岛上的公路交通造成了很大的压力。据统计，海鸥岛周末日平均客流约有1万人、车流量2000-3000辆，以自驾游占多数。2016年“五一”、国庆等长假期间，交警部门监测到海鸥岛日高峰段的游客量高达18000人、进岛车辆3500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outlineLvl w:val="9"/>
        <w:rPr>
          <w:rFonts w:ascii="Arial" w:hAnsi="Arial" w:cs="Arial"/>
          <w:color w:val="333333"/>
          <w:sz w:val="30"/>
          <w:szCs w:val="30"/>
        </w:rPr>
      </w:pPr>
      <w:r>
        <w:rPr>
          <w:rFonts w:hint="eastAsia" w:ascii="Arial" w:hAnsi="Arial" w:cs="Arial"/>
          <w:color w:val="333333"/>
          <w:sz w:val="30"/>
          <w:szCs w:val="30"/>
        </w:rPr>
        <w:t>2019年4月2日，历时五年建设的南沙大桥（虎门二桥项目）宣布正式通车，南沙大桥的海鸥岛站于2019年4月25日正式投入使用，南沙大桥的开通将粤港澳大湾区整体的交通枢纽连为一体，对大湾区的交通网格更高效地发挥作用。莲花山、海鸥岛片区成为珠江三角洲地区旅游体系中的一个新亮点。但是南沙大桥在发挥巨大枢纽作用的同时，对位于在番禺区域连通海鸥岛的海鸥公路和海鸥大桥的交通带来非常大的压力。由于一方面有大量车辆集中赴海鸥岛旅游观光，同时，海鸥公路和海鸥大桥上不论白天还是晚上，众多满载货物过往深圳、东莞的重型货车、货柜车通行海鸥公路和海鸥大桥，超出大桥的承载，虽然有限载标识，但是实际情况往往众多车辆依旧上桥通行。另一方面，由于连接海鸥岛站的海鸥公路为双向两车道，岛内道路容量有限，从而导致出口车辆无法驶出，集中产生的车流，造成地方公路车流拥堵到大桥海鸥岛出口，特别在周末或节假日的时候，前往海鸥岛旅游观光的小车和重型货车大量集中往海鸥公路通行，众多小型车来到海鸥公路瓶颈处被迫跟在大型货车后面缓慢跟随造成路面拥堵，随之也对居住在海鸥岛的众多居民的正常出行造成相当的困扰和交通安全隐患。</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outlineLvl w:val="9"/>
        <w:rPr>
          <w:rFonts w:ascii="Arial" w:hAnsi="Arial" w:cs="Arial"/>
          <w:color w:val="333333"/>
          <w:sz w:val="30"/>
          <w:szCs w:val="30"/>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eastAsia="黑体"/>
          <w:b/>
          <w:bCs/>
          <w:sz w:val="30"/>
          <w:szCs w:val="30"/>
        </w:rPr>
      </w:pPr>
      <w:r>
        <w:rPr>
          <w:rFonts w:hint="eastAsia" w:eastAsia="黑体"/>
          <w:b/>
          <w:bCs/>
          <w:sz w:val="30"/>
          <w:szCs w:val="30"/>
        </w:rPr>
        <w:t>建 议：</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Arial" w:hAnsi="Arial" w:cs="Arial"/>
          <w:color w:val="333333"/>
          <w:sz w:val="30"/>
          <w:szCs w:val="30"/>
        </w:rPr>
      </w:pPr>
      <w:r>
        <w:rPr>
          <w:rFonts w:hint="eastAsia" w:ascii="Arial" w:hAnsi="Arial" w:cs="Arial"/>
          <w:color w:val="333333"/>
          <w:sz w:val="30"/>
          <w:szCs w:val="30"/>
        </w:rPr>
        <w:tab/>
      </w:r>
      <w:r>
        <w:rPr>
          <w:rFonts w:hint="eastAsia" w:ascii="Arial" w:hAnsi="Arial" w:cs="Arial"/>
          <w:color w:val="333333"/>
          <w:sz w:val="30"/>
          <w:szCs w:val="30"/>
        </w:rPr>
        <w:t xml:space="preserve"> 1、加快海鸥公路的扩建速度。随着番禺区作为全国首批全域旅游城市示范区域，更加</w:t>
      </w:r>
      <w:r>
        <w:rPr>
          <w:rFonts w:ascii="Arial" w:hAnsi="Arial" w:cs="Arial"/>
          <w:color w:val="333333"/>
          <w:sz w:val="30"/>
          <w:szCs w:val="30"/>
        </w:rPr>
        <w:t>促进</w:t>
      </w:r>
      <w:r>
        <w:rPr>
          <w:rFonts w:hint="eastAsia" w:ascii="Arial" w:hAnsi="Arial" w:cs="Arial"/>
          <w:color w:val="333333"/>
          <w:sz w:val="30"/>
          <w:szCs w:val="30"/>
        </w:rPr>
        <w:t>了</w:t>
      </w:r>
      <w:r>
        <w:rPr>
          <w:rFonts w:ascii="Arial" w:hAnsi="Arial" w:cs="Arial"/>
          <w:color w:val="333333"/>
          <w:sz w:val="30"/>
          <w:szCs w:val="30"/>
        </w:rPr>
        <w:t>海鸥岛旅游开发，</w:t>
      </w:r>
      <w:r>
        <w:rPr>
          <w:rFonts w:hint="eastAsia" w:ascii="Arial" w:hAnsi="Arial" w:cs="Arial"/>
          <w:color w:val="333333"/>
          <w:sz w:val="30"/>
          <w:szCs w:val="30"/>
        </w:rPr>
        <w:t>海鸥岛、莲花山风景名胜区、大岭古村等周边的优美自然风光吸引着众多的人们到此休闲度假，</w:t>
      </w:r>
      <w:r>
        <w:rPr>
          <w:rFonts w:ascii="Arial" w:hAnsi="Arial" w:cs="Arial"/>
          <w:color w:val="333333"/>
          <w:sz w:val="30"/>
          <w:szCs w:val="30"/>
        </w:rPr>
        <w:t>省道S296（海鸥公路）是</w:t>
      </w:r>
      <w:r>
        <w:fldChar w:fldCharType="begin"/>
      </w:r>
      <w:r>
        <w:instrText xml:space="preserve"> HYPERLINK "https://baike.baidu.com/item/%E6%B5%B7%E9%B8%A5%E5%B2%9B/11013944" \t "_blank" </w:instrText>
      </w:r>
      <w:r>
        <w:fldChar w:fldCharType="separate"/>
      </w:r>
      <w:r>
        <w:rPr>
          <w:rFonts w:ascii="Arial" w:hAnsi="Arial" w:cs="Arial"/>
          <w:color w:val="333333"/>
          <w:sz w:val="30"/>
          <w:szCs w:val="30"/>
        </w:rPr>
        <w:t>海鸥岛</w:t>
      </w:r>
      <w:r>
        <w:rPr>
          <w:rFonts w:ascii="Arial" w:hAnsi="Arial" w:cs="Arial"/>
          <w:color w:val="333333"/>
          <w:sz w:val="30"/>
          <w:szCs w:val="30"/>
        </w:rPr>
        <w:fldChar w:fldCharType="end"/>
      </w:r>
      <w:r>
        <w:rPr>
          <w:rFonts w:ascii="Arial" w:hAnsi="Arial" w:cs="Arial"/>
          <w:color w:val="333333"/>
          <w:sz w:val="30"/>
          <w:szCs w:val="30"/>
        </w:rPr>
        <w:t>上贯通全岛的交通主通道，省道S296（海鸥公路）北起海鸥大桥，南至广州打捞局</w:t>
      </w:r>
      <w:r>
        <w:fldChar w:fldCharType="begin"/>
      </w:r>
      <w:r>
        <w:instrText xml:space="preserve"> HYPERLINK "https://baike.baidu.com/item/%E7%9F%B3%E6%A5%BC/8094069" \t "_blank" </w:instrText>
      </w:r>
      <w:r>
        <w:fldChar w:fldCharType="separate"/>
      </w:r>
      <w:r>
        <w:rPr>
          <w:rFonts w:ascii="Arial" w:hAnsi="Arial" w:cs="Arial"/>
          <w:color w:val="333333"/>
          <w:sz w:val="30"/>
          <w:szCs w:val="30"/>
        </w:rPr>
        <w:t>石楼</w:t>
      </w:r>
      <w:r>
        <w:rPr>
          <w:rFonts w:ascii="Arial" w:hAnsi="Arial" w:cs="Arial"/>
          <w:color w:val="333333"/>
          <w:sz w:val="30"/>
          <w:szCs w:val="30"/>
        </w:rPr>
        <w:fldChar w:fldCharType="end"/>
      </w:r>
      <w:r>
        <w:rPr>
          <w:rFonts w:ascii="Arial" w:hAnsi="Arial" w:cs="Arial"/>
          <w:color w:val="333333"/>
          <w:sz w:val="30"/>
          <w:szCs w:val="30"/>
        </w:rPr>
        <w:t>基地，路线全长约12公里，起点北段约2公里为4车道，其余约10公里为现状2车道。有必要</w:t>
      </w:r>
      <w:r>
        <w:rPr>
          <w:rFonts w:hint="eastAsia" w:ascii="Arial" w:hAnsi="Arial" w:cs="Arial"/>
          <w:color w:val="333333"/>
          <w:sz w:val="30"/>
          <w:szCs w:val="30"/>
        </w:rPr>
        <w:t>尽快</w:t>
      </w:r>
      <w:r>
        <w:rPr>
          <w:rFonts w:ascii="Arial" w:hAnsi="Arial" w:cs="Arial"/>
          <w:color w:val="333333"/>
          <w:sz w:val="30"/>
          <w:szCs w:val="30"/>
        </w:rPr>
        <w:t>完善海鸥岛交通路网，对省道S296（海鸥公路）进行扩建</w:t>
      </w:r>
      <w:r>
        <w:rPr>
          <w:rFonts w:hint="eastAsia" w:ascii="Arial" w:hAnsi="Arial" w:cs="Arial"/>
          <w:color w:val="333333"/>
          <w:sz w:val="30"/>
          <w:szCs w:val="30"/>
        </w:rPr>
        <w:t>，改善岛内居民和过往游客的出行，显得更犹为迫切</w:t>
      </w:r>
      <w:r>
        <w:rPr>
          <w:rFonts w:ascii="Arial" w:hAnsi="Arial" w:cs="Arial"/>
          <w:color w:val="333333"/>
          <w:sz w:val="30"/>
          <w:szCs w:val="30"/>
        </w:rPr>
        <w:t>。有效促进海鸥岛旅游、农业开发。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outlineLvl w:val="9"/>
        <w:rPr>
          <w:rFonts w:ascii="Arial" w:hAnsi="Arial" w:cs="Arial"/>
          <w:color w:val="333333"/>
          <w:sz w:val="30"/>
          <w:szCs w:val="30"/>
        </w:rPr>
      </w:pPr>
      <w:r>
        <w:rPr>
          <w:rFonts w:hint="eastAsia" w:ascii="Arial" w:hAnsi="Arial" w:cs="Arial"/>
          <w:color w:val="333333"/>
          <w:sz w:val="30"/>
          <w:szCs w:val="30"/>
        </w:rPr>
        <w:t>2、加快组织相关部门对建设海鸥二桥的立项进行综合评估。随着海鸥公路的建设提上日程，海鸥大桥将成为海鸥岛的出岛瓶颈，</w:t>
      </w:r>
      <w:r>
        <w:rPr>
          <w:rFonts w:ascii="Arial" w:hAnsi="Arial" w:cs="Arial"/>
          <w:color w:val="333333"/>
          <w:sz w:val="30"/>
          <w:szCs w:val="30"/>
        </w:rPr>
        <w:t>由于岛上居民车辆普及、游客车辆剧增以及</w:t>
      </w:r>
      <w:r>
        <w:fldChar w:fldCharType="begin"/>
      </w:r>
      <w:r>
        <w:instrText xml:space="preserve"> HYPERLINK "https://baike.baidu.com/item/%E8%99%8E%E9%97%A8%E4%BA%8C%E6%A1%A5" \t "_blank" </w:instrText>
      </w:r>
      <w:r>
        <w:fldChar w:fldCharType="separate"/>
      </w:r>
      <w:r>
        <w:rPr>
          <w:rFonts w:ascii="Arial" w:hAnsi="Arial" w:cs="Arial"/>
          <w:color w:val="333333"/>
          <w:sz w:val="30"/>
          <w:szCs w:val="30"/>
        </w:rPr>
        <w:t>虎门二桥</w:t>
      </w:r>
      <w:r>
        <w:rPr>
          <w:rFonts w:ascii="Arial" w:hAnsi="Arial" w:cs="Arial"/>
          <w:color w:val="333333"/>
          <w:sz w:val="30"/>
          <w:szCs w:val="30"/>
        </w:rPr>
        <w:fldChar w:fldCharType="end"/>
      </w:r>
      <w:r>
        <w:rPr>
          <w:rFonts w:ascii="Arial" w:hAnsi="Arial" w:cs="Arial"/>
          <w:color w:val="333333"/>
          <w:sz w:val="30"/>
          <w:szCs w:val="30"/>
        </w:rPr>
        <w:t>通车等因素叠加，</w:t>
      </w:r>
      <w:r>
        <w:rPr>
          <w:rFonts w:hint="eastAsia" w:ascii="Arial" w:hAnsi="Arial" w:cs="Arial"/>
          <w:color w:val="333333"/>
          <w:sz w:val="30"/>
          <w:szCs w:val="30"/>
        </w:rPr>
        <w:t>大量车辆到此聚集，</w:t>
      </w:r>
      <w:r>
        <w:rPr>
          <w:rFonts w:ascii="Arial" w:hAnsi="Arial" w:cs="Arial"/>
          <w:color w:val="333333"/>
          <w:sz w:val="30"/>
          <w:szCs w:val="30"/>
        </w:rPr>
        <w:t>造成交通拥堵，事故多发，给岛上交通管理和村民生活带来极大影响</w:t>
      </w:r>
      <w:r>
        <w:rPr>
          <w:rFonts w:hint="eastAsia" w:ascii="Arial" w:hAnsi="Arial" w:cs="Arial"/>
          <w:color w:val="333333"/>
          <w:sz w:val="30"/>
          <w:szCs w:val="30"/>
        </w:rPr>
        <w:t>，岛上居民</w:t>
      </w:r>
      <w:r>
        <w:rPr>
          <w:rFonts w:ascii="Arial" w:hAnsi="Arial" w:cs="Arial"/>
          <w:color w:val="333333"/>
          <w:sz w:val="30"/>
          <w:szCs w:val="30"/>
        </w:rPr>
        <w:t>每天出行都面临着巨大风险</w:t>
      </w:r>
      <w:r>
        <w:rPr>
          <w:rFonts w:hint="eastAsia" w:ascii="Arial" w:hAnsi="Arial" w:cs="Arial"/>
          <w:color w:val="333333"/>
          <w:sz w:val="30"/>
          <w:szCs w:val="30"/>
        </w:rPr>
        <w:t>。同时对大桥的安全负荷带来巨大压力，</w:t>
      </w:r>
      <w:r>
        <w:rPr>
          <w:rFonts w:ascii="Arial" w:hAnsi="Arial" w:cs="Arial"/>
          <w:color w:val="333333"/>
          <w:sz w:val="30"/>
          <w:szCs w:val="30"/>
        </w:rPr>
        <w:t>甚至影响大桥主线。</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outlineLvl w:val="9"/>
        <w:rPr>
          <w:rFonts w:hint="eastAsia" w:ascii="Arial" w:hAnsi="Arial" w:cs="Arial"/>
          <w:color w:val="333333"/>
          <w:sz w:val="30"/>
          <w:szCs w:val="30"/>
        </w:rPr>
      </w:pPr>
      <w:r>
        <w:rPr>
          <w:rFonts w:hint="eastAsia" w:ascii="Arial" w:hAnsi="Arial" w:cs="Arial"/>
          <w:color w:val="333333"/>
          <w:sz w:val="30"/>
          <w:szCs w:val="30"/>
        </w:rPr>
        <w:t>3、加大对违法超载超重车上海鸥大桥行驶的处罚力度，加大宣传和监督检查，强化违法执法力度，严厉打击违法超限超重上桥车辆。加装天眼对违法上桥车辆进行抓拍，虽然目前在上桥位置有限重20吨的标识，但是众多货车依然超限违法上桥，特别是虎门二桥（南沙大桥）通车后，许多货车司机为节省成本，纷纷行此捷径。经常桥上同时并排两三台运载货物的重型车行驶，对大桥造成严重隐患及拥堵情形。同时建议于大桥的前一个路口区域提前设置警示，方便车辆疏通分流，有很多首次行经此路段的货车司机表示，由于远处并没有限重标识，如果稍不留意就已经上桥了。</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outlineLvl w:val="9"/>
        <w:rPr>
          <w:rFonts w:ascii="Arial" w:hAnsi="Arial" w:cs="Arial"/>
          <w:color w:val="333333"/>
          <w:sz w:val="30"/>
          <w:szCs w:val="30"/>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sz w:val="28"/>
          <w:szCs w:val="28"/>
        </w:rPr>
      </w:pPr>
      <w:r>
        <w:rPr>
          <w:rFonts w:hint="eastAsia"/>
          <w:sz w:val="28"/>
          <w:szCs w:val="28"/>
        </w:rPr>
        <w:t>附：海鸥大桥周边现状</w:t>
      </w:r>
    </w:p>
    <w:p>
      <w:pPr>
        <w:ind w:firstLine="420"/>
        <w:rPr>
          <w:rFonts w:ascii="Arial" w:hAnsi="Arial" w:cs="Arial"/>
          <w:color w:val="333333"/>
          <w:sz w:val="28"/>
          <w:szCs w:val="28"/>
        </w:rPr>
      </w:pPr>
      <w:r>
        <w:rPr>
          <w:sz w:val="28"/>
          <w:szCs w:val="28"/>
        </w:rPr>
        <w:drawing>
          <wp:inline distT="0" distB="0" distL="0" distR="0">
            <wp:extent cx="2724150" cy="36322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35150" cy="3646867"/>
                    </a:xfrm>
                    <a:prstGeom prst="rect">
                      <a:avLst/>
                    </a:prstGeom>
                  </pic:spPr>
                </pic:pic>
              </a:graphicData>
            </a:graphic>
          </wp:inline>
        </w:drawing>
      </w:r>
    </w:p>
    <w:sectPr>
      <w:headerReference r:id="rId3" w:type="default"/>
      <w:pgSz w:w="11906" w:h="16838"/>
      <w:pgMar w:top="1418" w:right="1133" w:bottom="709" w:left="1134" w:header="567" w:footer="737"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A9D"/>
    <w:rsid w:val="00004122"/>
    <w:rsid w:val="00005080"/>
    <w:rsid w:val="000051AD"/>
    <w:rsid w:val="000219D2"/>
    <w:rsid w:val="00022B23"/>
    <w:rsid w:val="00023258"/>
    <w:rsid w:val="000259FD"/>
    <w:rsid w:val="00026A30"/>
    <w:rsid w:val="00035509"/>
    <w:rsid w:val="00056184"/>
    <w:rsid w:val="0007202A"/>
    <w:rsid w:val="00075BBD"/>
    <w:rsid w:val="0008508A"/>
    <w:rsid w:val="00090BA4"/>
    <w:rsid w:val="000A45A1"/>
    <w:rsid w:val="000B1D9E"/>
    <w:rsid w:val="000B287A"/>
    <w:rsid w:val="000C5F8F"/>
    <w:rsid w:val="000C72E2"/>
    <w:rsid w:val="000D139E"/>
    <w:rsid w:val="000D1D69"/>
    <w:rsid w:val="000D79FC"/>
    <w:rsid w:val="000F0193"/>
    <w:rsid w:val="000F1A9C"/>
    <w:rsid w:val="000F270C"/>
    <w:rsid w:val="000F48D2"/>
    <w:rsid w:val="00103CEC"/>
    <w:rsid w:val="00110C74"/>
    <w:rsid w:val="00112F38"/>
    <w:rsid w:val="001135E9"/>
    <w:rsid w:val="0012118F"/>
    <w:rsid w:val="00121E13"/>
    <w:rsid w:val="00127EAA"/>
    <w:rsid w:val="00130D2B"/>
    <w:rsid w:val="00130D6C"/>
    <w:rsid w:val="00131C46"/>
    <w:rsid w:val="00132EBD"/>
    <w:rsid w:val="00133B33"/>
    <w:rsid w:val="001413D4"/>
    <w:rsid w:val="00147C2B"/>
    <w:rsid w:val="00153E16"/>
    <w:rsid w:val="001549F0"/>
    <w:rsid w:val="00165AF9"/>
    <w:rsid w:val="00166980"/>
    <w:rsid w:val="00170FE7"/>
    <w:rsid w:val="00172F66"/>
    <w:rsid w:val="00173BAD"/>
    <w:rsid w:val="00181A3D"/>
    <w:rsid w:val="00194785"/>
    <w:rsid w:val="001B3258"/>
    <w:rsid w:val="001B48F7"/>
    <w:rsid w:val="001B65DB"/>
    <w:rsid w:val="001C2358"/>
    <w:rsid w:val="001D10D1"/>
    <w:rsid w:val="001D56B7"/>
    <w:rsid w:val="001D738B"/>
    <w:rsid w:val="001E2591"/>
    <w:rsid w:val="001E37E6"/>
    <w:rsid w:val="001E49B8"/>
    <w:rsid w:val="001F1DB3"/>
    <w:rsid w:val="001F29AE"/>
    <w:rsid w:val="001F5F21"/>
    <w:rsid w:val="00200374"/>
    <w:rsid w:val="0020257F"/>
    <w:rsid w:val="0021308B"/>
    <w:rsid w:val="00216DB4"/>
    <w:rsid w:val="00217EFC"/>
    <w:rsid w:val="002226B1"/>
    <w:rsid w:val="00225047"/>
    <w:rsid w:val="00225C57"/>
    <w:rsid w:val="0022771D"/>
    <w:rsid w:val="0023368A"/>
    <w:rsid w:val="00234847"/>
    <w:rsid w:val="002357BB"/>
    <w:rsid w:val="0023592A"/>
    <w:rsid w:val="002467DC"/>
    <w:rsid w:val="00246F84"/>
    <w:rsid w:val="0024713F"/>
    <w:rsid w:val="002509E0"/>
    <w:rsid w:val="00253D75"/>
    <w:rsid w:val="0026076A"/>
    <w:rsid w:val="00263A78"/>
    <w:rsid w:val="00263D39"/>
    <w:rsid w:val="002708D4"/>
    <w:rsid w:val="00292B6D"/>
    <w:rsid w:val="0029380B"/>
    <w:rsid w:val="00294245"/>
    <w:rsid w:val="00296357"/>
    <w:rsid w:val="002A1FC1"/>
    <w:rsid w:val="002A4F82"/>
    <w:rsid w:val="002B0F5F"/>
    <w:rsid w:val="002B7221"/>
    <w:rsid w:val="002B793C"/>
    <w:rsid w:val="002E270B"/>
    <w:rsid w:val="002F765B"/>
    <w:rsid w:val="00310255"/>
    <w:rsid w:val="00310299"/>
    <w:rsid w:val="003115AB"/>
    <w:rsid w:val="00315A1A"/>
    <w:rsid w:val="003202B1"/>
    <w:rsid w:val="00327DB3"/>
    <w:rsid w:val="00333015"/>
    <w:rsid w:val="003464E9"/>
    <w:rsid w:val="00352288"/>
    <w:rsid w:val="0035775E"/>
    <w:rsid w:val="00362E95"/>
    <w:rsid w:val="003655D1"/>
    <w:rsid w:val="00377A60"/>
    <w:rsid w:val="003928F4"/>
    <w:rsid w:val="003A01CB"/>
    <w:rsid w:val="003A29D4"/>
    <w:rsid w:val="003A42B4"/>
    <w:rsid w:val="003B4D00"/>
    <w:rsid w:val="003C3F72"/>
    <w:rsid w:val="003D1F18"/>
    <w:rsid w:val="003D4199"/>
    <w:rsid w:val="003E070F"/>
    <w:rsid w:val="003F7253"/>
    <w:rsid w:val="0040335E"/>
    <w:rsid w:val="00404660"/>
    <w:rsid w:val="0040620C"/>
    <w:rsid w:val="004203C7"/>
    <w:rsid w:val="00421D63"/>
    <w:rsid w:val="004227F6"/>
    <w:rsid w:val="004228D0"/>
    <w:rsid w:val="00424775"/>
    <w:rsid w:val="004248E8"/>
    <w:rsid w:val="00425A83"/>
    <w:rsid w:val="00427849"/>
    <w:rsid w:val="004343C6"/>
    <w:rsid w:val="00437367"/>
    <w:rsid w:val="00437FA7"/>
    <w:rsid w:val="0044064C"/>
    <w:rsid w:val="00444231"/>
    <w:rsid w:val="00445346"/>
    <w:rsid w:val="004617DD"/>
    <w:rsid w:val="00466075"/>
    <w:rsid w:val="0046705F"/>
    <w:rsid w:val="00467C5D"/>
    <w:rsid w:val="00480767"/>
    <w:rsid w:val="00485154"/>
    <w:rsid w:val="00491184"/>
    <w:rsid w:val="00492AC3"/>
    <w:rsid w:val="0049408C"/>
    <w:rsid w:val="00497119"/>
    <w:rsid w:val="004A1D32"/>
    <w:rsid w:val="004A38D2"/>
    <w:rsid w:val="004A512F"/>
    <w:rsid w:val="004C3A71"/>
    <w:rsid w:val="004C3A7F"/>
    <w:rsid w:val="004C53E9"/>
    <w:rsid w:val="004C7371"/>
    <w:rsid w:val="004D1AD9"/>
    <w:rsid w:val="004E105A"/>
    <w:rsid w:val="004E6361"/>
    <w:rsid w:val="004F2942"/>
    <w:rsid w:val="004F37A8"/>
    <w:rsid w:val="004F4428"/>
    <w:rsid w:val="004F5265"/>
    <w:rsid w:val="005007C7"/>
    <w:rsid w:val="005056A0"/>
    <w:rsid w:val="0051090A"/>
    <w:rsid w:val="0053075C"/>
    <w:rsid w:val="00535042"/>
    <w:rsid w:val="00540708"/>
    <w:rsid w:val="00540C84"/>
    <w:rsid w:val="00540E8C"/>
    <w:rsid w:val="005477E1"/>
    <w:rsid w:val="0056099C"/>
    <w:rsid w:val="00571EFE"/>
    <w:rsid w:val="00573CE7"/>
    <w:rsid w:val="0058705A"/>
    <w:rsid w:val="00587364"/>
    <w:rsid w:val="005913EE"/>
    <w:rsid w:val="00592C4D"/>
    <w:rsid w:val="005957AE"/>
    <w:rsid w:val="005965FB"/>
    <w:rsid w:val="00596C4B"/>
    <w:rsid w:val="005B2204"/>
    <w:rsid w:val="005B2A11"/>
    <w:rsid w:val="005B69D6"/>
    <w:rsid w:val="005C295D"/>
    <w:rsid w:val="005D3E19"/>
    <w:rsid w:val="005D3F08"/>
    <w:rsid w:val="005D5E49"/>
    <w:rsid w:val="005D770E"/>
    <w:rsid w:val="005E2B27"/>
    <w:rsid w:val="005F4393"/>
    <w:rsid w:val="005F4E53"/>
    <w:rsid w:val="00624583"/>
    <w:rsid w:val="00626D7A"/>
    <w:rsid w:val="00626FE7"/>
    <w:rsid w:val="0063202E"/>
    <w:rsid w:val="006359C1"/>
    <w:rsid w:val="00637973"/>
    <w:rsid w:val="006426A0"/>
    <w:rsid w:val="00644067"/>
    <w:rsid w:val="006641DB"/>
    <w:rsid w:val="006666D1"/>
    <w:rsid w:val="00671738"/>
    <w:rsid w:val="0068123E"/>
    <w:rsid w:val="00685643"/>
    <w:rsid w:val="00691BF7"/>
    <w:rsid w:val="00695528"/>
    <w:rsid w:val="0069778D"/>
    <w:rsid w:val="006A06B1"/>
    <w:rsid w:val="006B0172"/>
    <w:rsid w:val="006B347C"/>
    <w:rsid w:val="006B4BEB"/>
    <w:rsid w:val="006B7103"/>
    <w:rsid w:val="006C09C9"/>
    <w:rsid w:val="006C497D"/>
    <w:rsid w:val="006C6857"/>
    <w:rsid w:val="006D4C4E"/>
    <w:rsid w:val="006D5CE1"/>
    <w:rsid w:val="006D6EF3"/>
    <w:rsid w:val="006E0204"/>
    <w:rsid w:val="006E0451"/>
    <w:rsid w:val="006F51BD"/>
    <w:rsid w:val="006F6143"/>
    <w:rsid w:val="006F7082"/>
    <w:rsid w:val="0070597D"/>
    <w:rsid w:val="007104D5"/>
    <w:rsid w:val="007133B5"/>
    <w:rsid w:val="00721C87"/>
    <w:rsid w:val="00741A99"/>
    <w:rsid w:val="007433AF"/>
    <w:rsid w:val="0074605D"/>
    <w:rsid w:val="00747541"/>
    <w:rsid w:val="00751214"/>
    <w:rsid w:val="007549E6"/>
    <w:rsid w:val="00761F75"/>
    <w:rsid w:val="00763F00"/>
    <w:rsid w:val="0076795E"/>
    <w:rsid w:val="00771434"/>
    <w:rsid w:val="00781F59"/>
    <w:rsid w:val="00783834"/>
    <w:rsid w:val="00783882"/>
    <w:rsid w:val="00791D70"/>
    <w:rsid w:val="007B09E5"/>
    <w:rsid w:val="007B7B43"/>
    <w:rsid w:val="007B7DB2"/>
    <w:rsid w:val="007C15FF"/>
    <w:rsid w:val="007C331D"/>
    <w:rsid w:val="007D7AB7"/>
    <w:rsid w:val="007E344C"/>
    <w:rsid w:val="007F32A8"/>
    <w:rsid w:val="007F3AED"/>
    <w:rsid w:val="007F4F78"/>
    <w:rsid w:val="00800F67"/>
    <w:rsid w:val="00804B93"/>
    <w:rsid w:val="00806F8C"/>
    <w:rsid w:val="00807AEB"/>
    <w:rsid w:val="00807F12"/>
    <w:rsid w:val="00814C51"/>
    <w:rsid w:val="00814CC4"/>
    <w:rsid w:val="00814DAD"/>
    <w:rsid w:val="008218EE"/>
    <w:rsid w:val="0083329B"/>
    <w:rsid w:val="008333FA"/>
    <w:rsid w:val="00835848"/>
    <w:rsid w:val="008400FE"/>
    <w:rsid w:val="00841503"/>
    <w:rsid w:val="00842895"/>
    <w:rsid w:val="0085385E"/>
    <w:rsid w:val="008563C2"/>
    <w:rsid w:val="00866C4F"/>
    <w:rsid w:val="008716C9"/>
    <w:rsid w:val="00872BA7"/>
    <w:rsid w:val="00872F7A"/>
    <w:rsid w:val="00874EAD"/>
    <w:rsid w:val="00880EA4"/>
    <w:rsid w:val="00882D7E"/>
    <w:rsid w:val="00891BEF"/>
    <w:rsid w:val="00892345"/>
    <w:rsid w:val="00894133"/>
    <w:rsid w:val="008947E3"/>
    <w:rsid w:val="008A63A4"/>
    <w:rsid w:val="008B1AAD"/>
    <w:rsid w:val="008B2C74"/>
    <w:rsid w:val="008B4BDD"/>
    <w:rsid w:val="008C070D"/>
    <w:rsid w:val="008C0F92"/>
    <w:rsid w:val="008C2B74"/>
    <w:rsid w:val="008C367D"/>
    <w:rsid w:val="008C507C"/>
    <w:rsid w:val="008C5D24"/>
    <w:rsid w:val="008D0EC0"/>
    <w:rsid w:val="008D44FC"/>
    <w:rsid w:val="008D4E5C"/>
    <w:rsid w:val="008D5D6A"/>
    <w:rsid w:val="008F149C"/>
    <w:rsid w:val="008F3240"/>
    <w:rsid w:val="008F5A1A"/>
    <w:rsid w:val="009033BE"/>
    <w:rsid w:val="009118BB"/>
    <w:rsid w:val="00912A3F"/>
    <w:rsid w:val="00913F6E"/>
    <w:rsid w:val="00915D39"/>
    <w:rsid w:val="00917A91"/>
    <w:rsid w:val="009257A0"/>
    <w:rsid w:val="00930366"/>
    <w:rsid w:val="00933656"/>
    <w:rsid w:val="00934758"/>
    <w:rsid w:val="009379F8"/>
    <w:rsid w:val="0094331F"/>
    <w:rsid w:val="00955B28"/>
    <w:rsid w:val="009607CB"/>
    <w:rsid w:val="00960E55"/>
    <w:rsid w:val="009638BE"/>
    <w:rsid w:val="009661A2"/>
    <w:rsid w:val="00973516"/>
    <w:rsid w:val="00973F46"/>
    <w:rsid w:val="00980017"/>
    <w:rsid w:val="00985877"/>
    <w:rsid w:val="00985B3D"/>
    <w:rsid w:val="009A5F5C"/>
    <w:rsid w:val="009B2B43"/>
    <w:rsid w:val="009B632F"/>
    <w:rsid w:val="009B679D"/>
    <w:rsid w:val="009C0E65"/>
    <w:rsid w:val="009C630E"/>
    <w:rsid w:val="009C74D4"/>
    <w:rsid w:val="009D72D8"/>
    <w:rsid w:val="009F2ECD"/>
    <w:rsid w:val="009F5FBF"/>
    <w:rsid w:val="009F7CD4"/>
    <w:rsid w:val="00A04BCC"/>
    <w:rsid w:val="00A06D9F"/>
    <w:rsid w:val="00A1242A"/>
    <w:rsid w:val="00A13BB4"/>
    <w:rsid w:val="00A142E6"/>
    <w:rsid w:val="00A15450"/>
    <w:rsid w:val="00A21080"/>
    <w:rsid w:val="00A210E7"/>
    <w:rsid w:val="00A23D57"/>
    <w:rsid w:val="00A30BEB"/>
    <w:rsid w:val="00A35FB6"/>
    <w:rsid w:val="00A364D2"/>
    <w:rsid w:val="00A479AF"/>
    <w:rsid w:val="00A5399B"/>
    <w:rsid w:val="00A636B2"/>
    <w:rsid w:val="00A640A6"/>
    <w:rsid w:val="00A80D64"/>
    <w:rsid w:val="00A90C33"/>
    <w:rsid w:val="00A93218"/>
    <w:rsid w:val="00A93DDE"/>
    <w:rsid w:val="00AB0C91"/>
    <w:rsid w:val="00AB11DF"/>
    <w:rsid w:val="00AB1563"/>
    <w:rsid w:val="00AD21A5"/>
    <w:rsid w:val="00AD554C"/>
    <w:rsid w:val="00AE2523"/>
    <w:rsid w:val="00AE2852"/>
    <w:rsid w:val="00AE2D63"/>
    <w:rsid w:val="00AE4C1B"/>
    <w:rsid w:val="00AE52CA"/>
    <w:rsid w:val="00AE720B"/>
    <w:rsid w:val="00AF32F0"/>
    <w:rsid w:val="00AF666F"/>
    <w:rsid w:val="00B128D5"/>
    <w:rsid w:val="00B14891"/>
    <w:rsid w:val="00B253F7"/>
    <w:rsid w:val="00B27638"/>
    <w:rsid w:val="00B276D9"/>
    <w:rsid w:val="00B310B7"/>
    <w:rsid w:val="00B33BF0"/>
    <w:rsid w:val="00B35B34"/>
    <w:rsid w:val="00B41640"/>
    <w:rsid w:val="00B44093"/>
    <w:rsid w:val="00B633A9"/>
    <w:rsid w:val="00B638A6"/>
    <w:rsid w:val="00B71A92"/>
    <w:rsid w:val="00B7397F"/>
    <w:rsid w:val="00B7627B"/>
    <w:rsid w:val="00B81B2B"/>
    <w:rsid w:val="00B838EB"/>
    <w:rsid w:val="00B903C1"/>
    <w:rsid w:val="00B96128"/>
    <w:rsid w:val="00BA0B24"/>
    <w:rsid w:val="00BA155B"/>
    <w:rsid w:val="00BA16A3"/>
    <w:rsid w:val="00BA545F"/>
    <w:rsid w:val="00BA5C88"/>
    <w:rsid w:val="00BA6390"/>
    <w:rsid w:val="00BB2FB5"/>
    <w:rsid w:val="00BC026C"/>
    <w:rsid w:val="00BC08C8"/>
    <w:rsid w:val="00BD228F"/>
    <w:rsid w:val="00BD334F"/>
    <w:rsid w:val="00BD7194"/>
    <w:rsid w:val="00BD7520"/>
    <w:rsid w:val="00BE23A5"/>
    <w:rsid w:val="00BF115E"/>
    <w:rsid w:val="00BF6BC2"/>
    <w:rsid w:val="00C077CF"/>
    <w:rsid w:val="00C10DF2"/>
    <w:rsid w:val="00C139A2"/>
    <w:rsid w:val="00C168EB"/>
    <w:rsid w:val="00C23813"/>
    <w:rsid w:val="00C2462E"/>
    <w:rsid w:val="00C309CE"/>
    <w:rsid w:val="00C31321"/>
    <w:rsid w:val="00C31BE1"/>
    <w:rsid w:val="00C3484A"/>
    <w:rsid w:val="00C41507"/>
    <w:rsid w:val="00C5691A"/>
    <w:rsid w:val="00C60449"/>
    <w:rsid w:val="00C63D2F"/>
    <w:rsid w:val="00C729A2"/>
    <w:rsid w:val="00C77403"/>
    <w:rsid w:val="00C82CEE"/>
    <w:rsid w:val="00C84F8C"/>
    <w:rsid w:val="00C85CC2"/>
    <w:rsid w:val="00C91645"/>
    <w:rsid w:val="00C93135"/>
    <w:rsid w:val="00CA0542"/>
    <w:rsid w:val="00CB0761"/>
    <w:rsid w:val="00CB47C9"/>
    <w:rsid w:val="00CB626A"/>
    <w:rsid w:val="00CC26B9"/>
    <w:rsid w:val="00CD0D50"/>
    <w:rsid w:val="00CE1AE4"/>
    <w:rsid w:val="00CE3732"/>
    <w:rsid w:val="00CF04B0"/>
    <w:rsid w:val="00CF5CC2"/>
    <w:rsid w:val="00CF5F44"/>
    <w:rsid w:val="00CF703F"/>
    <w:rsid w:val="00D01156"/>
    <w:rsid w:val="00D021CC"/>
    <w:rsid w:val="00D103A5"/>
    <w:rsid w:val="00D10A9D"/>
    <w:rsid w:val="00D1174C"/>
    <w:rsid w:val="00D12A6A"/>
    <w:rsid w:val="00D139DD"/>
    <w:rsid w:val="00D1570E"/>
    <w:rsid w:val="00D16C5E"/>
    <w:rsid w:val="00D176A7"/>
    <w:rsid w:val="00D2054A"/>
    <w:rsid w:val="00D2342B"/>
    <w:rsid w:val="00D26A46"/>
    <w:rsid w:val="00D41564"/>
    <w:rsid w:val="00D42D91"/>
    <w:rsid w:val="00D511CC"/>
    <w:rsid w:val="00D52CAF"/>
    <w:rsid w:val="00D6135A"/>
    <w:rsid w:val="00D64CCC"/>
    <w:rsid w:val="00D709BC"/>
    <w:rsid w:val="00D7203D"/>
    <w:rsid w:val="00D74D74"/>
    <w:rsid w:val="00D83151"/>
    <w:rsid w:val="00D90225"/>
    <w:rsid w:val="00D910CA"/>
    <w:rsid w:val="00D93986"/>
    <w:rsid w:val="00D93A88"/>
    <w:rsid w:val="00DA377E"/>
    <w:rsid w:val="00DA3B6A"/>
    <w:rsid w:val="00DB0AC9"/>
    <w:rsid w:val="00DB3BD3"/>
    <w:rsid w:val="00DC32D1"/>
    <w:rsid w:val="00DC51EB"/>
    <w:rsid w:val="00DC54EB"/>
    <w:rsid w:val="00DC65FF"/>
    <w:rsid w:val="00DD15E6"/>
    <w:rsid w:val="00DD22D4"/>
    <w:rsid w:val="00DD29C0"/>
    <w:rsid w:val="00DD7F3B"/>
    <w:rsid w:val="00DE55EB"/>
    <w:rsid w:val="00DE5A19"/>
    <w:rsid w:val="00DF0622"/>
    <w:rsid w:val="00DF0895"/>
    <w:rsid w:val="00DF5DC6"/>
    <w:rsid w:val="00E01705"/>
    <w:rsid w:val="00E04B55"/>
    <w:rsid w:val="00E07E0B"/>
    <w:rsid w:val="00E170CC"/>
    <w:rsid w:val="00E1768F"/>
    <w:rsid w:val="00E215BF"/>
    <w:rsid w:val="00E266D2"/>
    <w:rsid w:val="00E30199"/>
    <w:rsid w:val="00E332E3"/>
    <w:rsid w:val="00E332ED"/>
    <w:rsid w:val="00E34CAC"/>
    <w:rsid w:val="00E36940"/>
    <w:rsid w:val="00E40B05"/>
    <w:rsid w:val="00E41ED7"/>
    <w:rsid w:val="00E42C72"/>
    <w:rsid w:val="00E44882"/>
    <w:rsid w:val="00E52026"/>
    <w:rsid w:val="00E57608"/>
    <w:rsid w:val="00E71E81"/>
    <w:rsid w:val="00E73635"/>
    <w:rsid w:val="00E974CF"/>
    <w:rsid w:val="00EA0EFE"/>
    <w:rsid w:val="00EA1465"/>
    <w:rsid w:val="00EA1826"/>
    <w:rsid w:val="00EA2833"/>
    <w:rsid w:val="00EA47B8"/>
    <w:rsid w:val="00EC2112"/>
    <w:rsid w:val="00EC6999"/>
    <w:rsid w:val="00ED19FF"/>
    <w:rsid w:val="00ED74D8"/>
    <w:rsid w:val="00EE5836"/>
    <w:rsid w:val="00EE6533"/>
    <w:rsid w:val="00EF016B"/>
    <w:rsid w:val="00EF3A41"/>
    <w:rsid w:val="00F0034D"/>
    <w:rsid w:val="00F04AB6"/>
    <w:rsid w:val="00F06B08"/>
    <w:rsid w:val="00F074B8"/>
    <w:rsid w:val="00F14AAA"/>
    <w:rsid w:val="00F15127"/>
    <w:rsid w:val="00F20132"/>
    <w:rsid w:val="00F239E8"/>
    <w:rsid w:val="00F2641C"/>
    <w:rsid w:val="00F3194E"/>
    <w:rsid w:val="00F363D5"/>
    <w:rsid w:val="00F36C75"/>
    <w:rsid w:val="00F44039"/>
    <w:rsid w:val="00F4559C"/>
    <w:rsid w:val="00F4750F"/>
    <w:rsid w:val="00F54102"/>
    <w:rsid w:val="00F6152C"/>
    <w:rsid w:val="00F65136"/>
    <w:rsid w:val="00F708B6"/>
    <w:rsid w:val="00F71567"/>
    <w:rsid w:val="00F721CD"/>
    <w:rsid w:val="00F74964"/>
    <w:rsid w:val="00F74D5B"/>
    <w:rsid w:val="00F74F7A"/>
    <w:rsid w:val="00F75002"/>
    <w:rsid w:val="00F828F9"/>
    <w:rsid w:val="00F83A28"/>
    <w:rsid w:val="00F855CA"/>
    <w:rsid w:val="00F8697C"/>
    <w:rsid w:val="00FB3951"/>
    <w:rsid w:val="00FB3DEF"/>
    <w:rsid w:val="00FB5AA5"/>
    <w:rsid w:val="00FD0964"/>
    <w:rsid w:val="00FD0F37"/>
    <w:rsid w:val="00FD19CD"/>
    <w:rsid w:val="00FD227A"/>
    <w:rsid w:val="00FD3EF1"/>
    <w:rsid w:val="00FD4D90"/>
    <w:rsid w:val="00FD6537"/>
    <w:rsid w:val="00FF6FE9"/>
    <w:rsid w:val="04E35D7D"/>
    <w:rsid w:val="18FF0704"/>
    <w:rsid w:val="44BC4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6"/>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rPr>
  </w:style>
  <w:style w:type="paragraph" w:styleId="7">
    <w:name w:val="Normal (Web)"/>
    <w:basedOn w:val="1"/>
    <w:uiPriority w:val="99"/>
    <w:pPr>
      <w:widowControl/>
      <w:spacing w:before="100" w:beforeAutospacing="1" w:after="100" w:afterAutospacing="1"/>
      <w:jc w:val="left"/>
    </w:pPr>
    <w:rPr>
      <w:rFonts w:ascii="宋体" w:hAnsi="宋体" w:eastAsia="宋体" w:cs="宋体"/>
      <w:kern w:val="0"/>
      <w:sz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标题 1 Char"/>
    <w:basedOn w:val="9"/>
    <w:link w:val="2"/>
    <w:qFormat/>
    <w:uiPriority w:val="9"/>
    <w:rPr>
      <w:rFonts w:ascii="宋体" w:hAnsi="宋体" w:eastAsia="宋体" w:cs="Times New Roman"/>
      <w:b/>
      <w:bCs/>
      <w:kern w:val="36"/>
      <w:sz w:val="48"/>
      <w:szCs w:val="48"/>
    </w:rPr>
  </w:style>
  <w:style w:type="character" w:customStyle="1" w:styleId="13">
    <w:name w:val="页眉 Char"/>
    <w:basedOn w:val="9"/>
    <w:link w:val="5"/>
    <w:qFormat/>
    <w:uiPriority w:val="99"/>
    <w:rPr>
      <w:rFonts w:ascii="Times New Roman" w:hAnsi="Times New Roman" w:eastAsia="仿宋_GB2312" w:cs="Times New Roman"/>
      <w:sz w:val="18"/>
      <w:szCs w:val="18"/>
    </w:rPr>
  </w:style>
  <w:style w:type="character" w:customStyle="1" w:styleId="14">
    <w:name w:val="页脚 Char"/>
    <w:basedOn w:val="9"/>
    <w:link w:val="4"/>
    <w:uiPriority w:val="99"/>
    <w:rPr>
      <w:rFonts w:ascii="Times New Roman" w:hAnsi="Times New Roman" w:eastAsia="仿宋_GB2312" w:cs="Times New Roman"/>
      <w:sz w:val="18"/>
      <w:szCs w:val="18"/>
    </w:rPr>
  </w:style>
  <w:style w:type="paragraph" w:styleId="15">
    <w:name w:val="List Paragraph"/>
    <w:basedOn w:val="1"/>
    <w:qFormat/>
    <w:uiPriority w:val="34"/>
    <w:pPr>
      <w:ind w:firstLine="420" w:firstLineChars="200"/>
    </w:pPr>
  </w:style>
  <w:style w:type="character" w:customStyle="1" w:styleId="16">
    <w:name w:val="HTML 预设格式 Char"/>
    <w:basedOn w:val="9"/>
    <w:link w:val="6"/>
    <w:qFormat/>
    <w:uiPriority w:val="99"/>
    <w:rPr>
      <w:rFonts w:ascii="宋体" w:hAnsi="宋体" w:eastAsia="宋体" w:cs="宋体"/>
      <w:kern w:val="0"/>
      <w:sz w:val="24"/>
      <w:szCs w:val="24"/>
    </w:rPr>
  </w:style>
  <w:style w:type="character" w:customStyle="1" w:styleId="17">
    <w:name w:val="批注框文本 Char"/>
    <w:basedOn w:val="9"/>
    <w:link w:val="3"/>
    <w:semiHidden/>
    <w:qFormat/>
    <w:uiPriority w:val="99"/>
    <w:rPr>
      <w:rFonts w:ascii="Times New Roman" w:hAnsi="Times New Roman" w:eastAsia="仿宋_GB2312" w:cs="Times New Roman"/>
      <w:sz w:val="18"/>
      <w:szCs w:val="18"/>
    </w:rPr>
  </w:style>
  <w:style w:type="character" w:customStyle="1" w:styleId="18">
    <w:name w:val="apple-converted-space"/>
    <w:basedOn w:val="9"/>
    <w:qFormat/>
    <w:uiPriority w:val="0"/>
  </w:style>
  <w:style w:type="paragraph" w:customStyle="1" w:styleId="19">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0">
    <w:name w:val="bjh-p"/>
    <w:basedOn w:val="9"/>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682BD-34A9-4A44-B7FE-B6D19715210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352</Words>
  <Characters>2011</Characters>
  <Lines>16</Lines>
  <Paragraphs>4</Paragraphs>
  <TotalTime>122</TotalTime>
  <ScaleCrop>false</ScaleCrop>
  <LinksUpToDate>false</LinksUpToDate>
  <CharactersWithSpaces>2359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2020-06-16T07:17:00Z</dcterms:created>
  <dc:creator>zhuoyue</dc:creator>
  <cp:lastModifiedBy>user</cp:lastModifiedBy>
  <cp:lastPrinted>2018-01-29T06:27:00Z</cp:lastPrinted>
  <dcterms:modified xsi:type="dcterms:W3CDTF">2022-11-15T08:29:34Z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