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" w:line="560" w:lineRule="exact"/>
        <w:jc w:val="center"/>
        <w:textAlignment w:val="auto"/>
        <w:outlineLvl w:val="9"/>
        <w:rPr>
          <w:rFonts w:hint="eastAsia" w:ascii="仿宋" w:hAnsi="仿宋" w:eastAsia="仿宋" w:cs="仿宋"/>
          <w:color w:val="000006"/>
          <w:sz w:val="32"/>
          <w:szCs w:val="32"/>
        </w:rPr>
      </w:pPr>
      <w:r>
        <w:rPr>
          <w:rFonts w:hint="eastAsia"/>
          <w:color w:val="000006"/>
          <w:sz w:val="32"/>
        </w:rPr>
        <w:t xml:space="preserve">                             </w:t>
      </w:r>
      <w:r>
        <w:rPr>
          <w:rFonts w:hint="eastAsia" w:ascii="仿宋" w:hAnsi="仿宋" w:eastAsia="仿宋" w:cs="仿宋"/>
          <w:color w:val="000006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color w:val="000006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6"/>
          <w:sz w:val="32"/>
          <w:szCs w:val="32"/>
        </w:rPr>
        <w:t>第</w:t>
      </w:r>
      <w:r>
        <w:rPr>
          <w:rFonts w:hint="eastAsia" w:ascii="仿宋" w:hAnsi="仿宋" w:eastAsia="仿宋" w:cs="仿宋"/>
          <w:color w:val="000006"/>
          <w:sz w:val="32"/>
          <w:szCs w:val="32"/>
          <w:u w:val="thick" w:color="000006"/>
          <w:lang w:val="en-US" w:eastAsia="zh-CN"/>
        </w:rPr>
        <w:t xml:space="preserve">  22  </w:t>
      </w:r>
      <w:r>
        <w:rPr>
          <w:rFonts w:hint="eastAsia" w:ascii="仿宋" w:hAnsi="仿宋" w:eastAsia="仿宋" w:cs="仿宋"/>
          <w:color w:val="000006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7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" w:line="560" w:lineRule="exact"/>
        <w:ind w:right="246"/>
        <w:jc w:val="center"/>
        <w:textAlignment w:val="auto"/>
        <w:outlineLvl w:val="9"/>
        <w:rPr>
          <w:rFonts w:hint="eastAsia" w:ascii="小标宋" w:hAnsi="小标宋" w:eastAsia="小标宋" w:cs="小标宋"/>
          <w:color w:val="000006"/>
          <w:sz w:val="44"/>
          <w:szCs w:val="44"/>
        </w:rPr>
      </w:pPr>
      <w:r>
        <w:rPr>
          <w:rFonts w:hint="eastAsia" w:ascii="小标宋" w:hAnsi="小标宋" w:eastAsia="小标宋" w:cs="小标宋"/>
          <w:color w:val="000006"/>
          <w:sz w:val="44"/>
          <w:szCs w:val="44"/>
        </w:rPr>
        <w:t>番禺区政协</w:t>
      </w:r>
      <w:r>
        <w:rPr>
          <w:rFonts w:hint="eastAsia" w:ascii="小标宋" w:hAnsi="小标宋" w:eastAsia="小标宋" w:cs="小标宋"/>
          <w:color w:val="000006"/>
          <w:sz w:val="44"/>
          <w:szCs w:val="44"/>
          <w:lang w:val="en-US"/>
        </w:rPr>
        <w:t>十</w:t>
      </w:r>
      <w:r>
        <w:rPr>
          <w:rFonts w:hint="eastAsia" w:ascii="小标宋" w:hAnsi="小标宋" w:eastAsia="小标宋" w:cs="小标宋"/>
          <w:color w:val="000006"/>
          <w:sz w:val="44"/>
          <w:szCs w:val="44"/>
        </w:rPr>
        <w:t>四届五次会议提案</w:t>
      </w:r>
    </w:p>
    <w:tbl>
      <w:tblPr>
        <w:tblStyle w:val="5"/>
        <w:tblW w:w="9167" w:type="dxa"/>
        <w:tblInd w:w="8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3005"/>
        <w:gridCol w:w="1442"/>
        <w:gridCol w:w="261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1227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6" w:line="560" w:lineRule="exact"/>
              <w:ind w:left="329" w:right="27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题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目</w:t>
            </w:r>
          </w:p>
        </w:tc>
        <w:tc>
          <w:tcPr>
            <w:tcW w:w="7057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right="-11" w:rightChars="-5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7"/>
                <w:sz w:val="32"/>
                <w:szCs w:val="32"/>
                <w:lang w:val="en-US"/>
              </w:rPr>
              <w:t>充分利用现有资源，为番禺预防重大疫情补短板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560" w:lineRule="exact"/>
              <w:ind w:left="331" w:right="268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提案者</w:t>
            </w:r>
          </w:p>
        </w:tc>
        <w:tc>
          <w:tcPr>
            <w:tcW w:w="300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九三学社番禺委员会</w:t>
            </w:r>
          </w:p>
        </w:tc>
        <w:tc>
          <w:tcPr>
            <w:tcW w:w="1442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560" w:lineRule="exact"/>
              <w:ind w:left="0" w:right="28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联系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人</w:t>
            </w:r>
          </w:p>
        </w:tc>
        <w:tc>
          <w:tcPr>
            <w:tcW w:w="26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徐乐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9" w:line="560" w:lineRule="exact"/>
              <w:ind w:left="331" w:right="27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作单位</w:t>
            </w:r>
          </w:p>
        </w:tc>
        <w:tc>
          <w:tcPr>
            <w:tcW w:w="300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2" w:line="560" w:lineRule="exact"/>
              <w:ind w:left="125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广州市番禺区何贤纪念医院</w:t>
            </w:r>
          </w:p>
        </w:tc>
        <w:tc>
          <w:tcPr>
            <w:tcW w:w="1442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63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9" w:line="560" w:lineRule="exact"/>
              <w:ind w:left="0" w:right="32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职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 xml:space="preserve">  务</w:t>
            </w:r>
          </w:p>
        </w:tc>
        <w:tc>
          <w:tcPr>
            <w:tcW w:w="26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9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大外科主任兼泌尿外科主任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560" w:lineRule="exact"/>
              <w:ind w:left="331" w:right="27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手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机号码</w:t>
            </w:r>
          </w:p>
        </w:tc>
        <w:tc>
          <w:tcPr>
            <w:tcW w:w="3005" w:type="dxa"/>
            <w:tcBorders>
              <w:righ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92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4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办公电话</w:t>
            </w:r>
          </w:p>
        </w:tc>
        <w:tc>
          <w:tcPr>
            <w:tcW w:w="2610" w:type="dxa"/>
            <w:tcBorders>
              <w:lef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92"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660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1" w:line="560" w:lineRule="exact"/>
              <w:ind w:left="331" w:right="27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通讯地址</w:t>
            </w:r>
          </w:p>
        </w:tc>
        <w:tc>
          <w:tcPr>
            <w:tcW w:w="3005" w:type="dxa"/>
            <w:tcBorders>
              <w:righ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4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邮编</w:t>
            </w:r>
          </w:p>
        </w:tc>
        <w:tc>
          <w:tcPr>
            <w:tcW w:w="2610" w:type="dxa"/>
            <w:tcBorders>
              <w:left w:val="single" w:color="000000" w:sz="12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2345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6" w:line="560" w:lineRule="exact"/>
              <w:ind w:left="193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联名提案人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3" w:line="560" w:lineRule="exact"/>
              <w:ind w:left="125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（如人数较多，可另附于文后）</w:t>
            </w:r>
          </w:p>
        </w:tc>
        <w:tc>
          <w:tcPr>
            <w:tcW w:w="7057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" w:line="560" w:lineRule="exact"/>
              <w:ind w:lef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周建中、周志、徐乐、傅红卫、陈红艳、邓青、曾媛、李东、连学雄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"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-232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1638" w:hRule="atLeast"/>
        </w:trPr>
        <w:tc>
          <w:tcPr>
            <w:tcW w:w="211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0" w:line="560" w:lineRule="exact"/>
              <w:ind w:left="125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提案委员会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0" w:line="560" w:lineRule="exact"/>
              <w:ind w:left="125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</w:rPr>
              <w:t>审查意</w:t>
            </w:r>
            <w:r>
              <w:rPr>
                <w:rFonts w:hint="eastAsia" w:ascii="仿宋" w:hAnsi="仿宋" w:eastAsia="仿宋" w:cs="仿宋"/>
                <w:b/>
                <w:bCs/>
                <w:color w:val="000006"/>
                <w:sz w:val="32"/>
                <w:szCs w:val="32"/>
                <w:lang w:val="en-US"/>
              </w:rPr>
              <w:t>见</w:t>
            </w:r>
          </w:p>
        </w:tc>
        <w:tc>
          <w:tcPr>
            <w:tcW w:w="7057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8" w:line="560" w:lineRule="exact"/>
        <w:ind w:left="308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6"/>
          <w:w w:val="105"/>
          <w:sz w:val="32"/>
          <w:szCs w:val="32"/>
        </w:rPr>
        <w:t>根据实际情况在</w:t>
      </w:r>
      <w:r>
        <w:rPr>
          <w:rFonts w:hint="eastAsia" w:ascii="仿宋" w:hAnsi="仿宋" w:eastAsia="仿宋" w:cs="仿宋"/>
          <w:color w:val="000006"/>
          <w:w w:val="145"/>
          <w:sz w:val="32"/>
          <w:szCs w:val="32"/>
        </w:rPr>
        <w:t>O</w:t>
      </w:r>
      <w:r>
        <w:rPr>
          <w:rFonts w:hint="eastAsia" w:ascii="仿宋" w:hAnsi="仿宋" w:eastAsia="仿宋" w:cs="仿宋"/>
          <w:color w:val="000006"/>
          <w:w w:val="105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560" w:lineRule="exact"/>
        <w:ind w:left="308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color w:val="000006"/>
          <w:sz w:val="32"/>
          <w:szCs w:val="32"/>
        </w:rPr>
        <w:t>是否同意公开：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308" w:leftChars="140" w:firstLine="480" w:firstLineChars="150"/>
        <w:textAlignment w:val="auto"/>
        <w:outlineLvl w:val="9"/>
        <w:rPr>
          <w:rFonts w:hint="eastAsia" w:ascii="仿宋" w:hAnsi="仿宋" w:eastAsia="仿宋" w:cs="仿宋"/>
          <w:b/>
          <w:color w:val="000006"/>
          <w:w w:val="12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√</w:t>
      </w:r>
      <w:r>
        <w:rPr>
          <w:rFonts w:hint="eastAsia" w:ascii="仿宋" w:hAnsi="仿宋" w:eastAsia="仿宋" w:cs="仿宋"/>
          <w:b/>
          <w:color w:val="000006"/>
          <w:w w:val="120"/>
          <w:sz w:val="32"/>
          <w:szCs w:val="32"/>
        </w:rPr>
        <w:t xml:space="preserve">是 </w:t>
      </w:r>
      <w:r>
        <w:rPr>
          <w:rFonts w:hint="eastAsia" w:ascii="仿宋" w:hAnsi="仿宋" w:eastAsia="仿宋" w:cs="仿宋"/>
          <w:color w:val="000006"/>
          <w:w w:val="145"/>
          <w:sz w:val="32"/>
          <w:szCs w:val="32"/>
        </w:rPr>
        <w:t>O</w:t>
      </w:r>
      <w:r>
        <w:rPr>
          <w:rFonts w:hint="eastAsia" w:ascii="仿宋" w:hAnsi="仿宋" w:eastAsia="仿宋" w:cs="仿宋"/>
          <w:b/>
          <w:color w:val="000006"/>
          <w:w w:val="120"/>
          <w:sz w:val="32"/>
          <w:szCs w:val="32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308" w:firstLine="464" w:firstLineChars="100"/>
        <w:textAlignment w:val="auto"/>
        <w:outlineLvl w:val="9"/>
        <w:rPr>
          <w:rFonts w:hint="eastAsia" w:ascii="仿宋" w:hAnsi="仿宋" w:eastAsia="仿宋" w:cs="仿宋"/>
          <w:b/>
          <w:color w:val="000006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6"/>
          <w:w w:val="145"/>
          <w:sz w:val="32"/>
          <w:szCs w:val="32"/>
        </w:rPr>
        <w:t>O</w:t>
      </w:r>
      <w:r>
        <w:rPr>
          <w:rFonts w:hint="eastAsia" w:ascii="仿宋" w:hAnsi="仿宋" w:eastAsia="仿宋" w:cs="仿宋"/>
          <w:b/>
          <w:color w:val="000006"/>
          <w:sz w:val="32"/>
          <w:szCs w:val="32"/>
        </w:rPr>
        <w:t>建议办理</w:t>
      </w:r>
      <w:r>
        <w:rPr>
          <w:rFonts w:hint="eastAsia" w:ascii="仿宋" w:hAnsi="仿宋" w:eastAsia="仿宋" w:cs="仿宋"/>
          <w:b/>
          <w:color w:val="000006"/>
          <w:sz w:val="32"/>
          <w:szCs w:val="32"/>
          <w:lang w:val="en-US"/>
        </w:rPr>
        <w:t>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45" w:leftChars="293" w:firstLine="321" w:firstLineChars="100"/>
        <w:textAlignment w:val="auto"/>
        <w:outlineLvl w:val="9"/>
        <w:rPr>
          <w:rFonts w:hint="eastAsia" w:ascii="仿宋" w:hAnsi="仿宋" w:eastAsia="仿宋" w:cs="仿宋"/>
          <w:color w:val="000006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6"/>
          <w:sz w:val="32"/>
          <w:szCs w:val="32"/>
          <w:lang w:val="en-US"/>
        </w:rPr>
        <w:t>1、番禺区政府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45" w:leftChars="293" w:firstLine="321" w:firstLineChars="100"/>
        <w:textAlignment w:val="auto"/>
        <w:outlineLvl w:val="9"/>
        <w:rPr>
          <w:rFonts w:hint="eastAsia" w:ascii="仿宋" w:hAnsi="仿宋" w:eastAsia="仿宋" w:cs="仿宋"/>
          <w:color w:val="000006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6"/>
          <w:sz w:val="32"/>
          <w:szCs w:val="32"/>
          <w:lang w:val="en-US"/>
        </w:rPr>
        <w:t>2、番禺卫建局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57" w:line="560" w:lineRule="exact"/>
        <w:ind w:left="0" w:right="-3901" w:rightChars="-1773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6"/>
          <w:sz w:val="32"/>
          <w:szCs w:val="32"/>
          <w:lang w:eastAsia="zh-CN"/>
        </w:rPr>
        <w:t>理</w:t>
      </w:r>
      <w:r>
        <w:rPr>
          <w:rFonts w:hint="eastAsia" w:ascii="黑体" w:hAnsi="黑体" w:eastAsia="黑体" w:cs="黑体"/>
          <w:b w:val="0"/>
          <w:bCs w:val="0"/>
          <w:color w:val="000006"/>
          <w:sz w:val="32"/>
          <w:szCs w:val="32"/>
        </w:rPr>
        <w:t>由</w:t>
      </w:r>
      <w:r>
        <w:rPr>
          <w:rFonts w:hint="eastAsia" w:ascii="黑体" w:hAnsi="黑体" w:eastAsia="黑体" w:cs="黑体"/>
          <w:b w:val="0"/>
          <w:bCs w:val="0"/>
          <w:color w:val="000006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7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" w:line="560" w:lineRule="exact"/>
        <w:ind w:right="139" w:rightChars="0" w:firstLine="623" w:firstLineChars="200"/>
        <w:textAlignment w:val="auto"/>
        <w:outlineLvl w:val="9"/>
        <w:rPr>
          <w:rFonts w:hint="eastAsia" w:ascii="仿宋" w:hAnsi="仿宋" w:eastAsia="仿宋" w:cs="仿宋"/>
          <w:color w:val="000007"/>
          <w:spacing w:val="-5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pacing w:val="-5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新冠肺炎疫情再思考：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76" w:firstLineChars="200"/>
        <w:textAlignment w:val="auto"/>
        <w:outlineLvl w:val="9"/>
        <w:rPr>
          <w:rFonts w:hint="eastAsia" w:ascii="仿宋" w:hAnsi="仿宋" w:eastAsia="仿宋" w:cs="仿宋"/>
          <w:color w:val="000007"/>
          <w:spacing w:val="-3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pacing w:val="-16"/>
          <w:sz w:val="32"/>
          <w:szCs w:val="32"/>
        </w:rPr>
        <w:t>2019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末暴发的新冠肺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炎我国疫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情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接近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尾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声，在党中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央的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正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确领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导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下，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坚决打赢了这场疫情防控的人民战争、总体战、狙击战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。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通过这场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无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硝烟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的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战役，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我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们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我们认为以下两个环节很重要：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  <w:lang w:val="en-US"/>
        </w:rPr>
        <w:t>一方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全国军民上下一条心，逆行驰援武汉，联防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联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控，早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发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现，早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诊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断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早隔离；二十补短板建设大规模的‘两山医院’和方舱医院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让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更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多的患者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得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到及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时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治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疗。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番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禺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区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在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区委区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政府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  <w:lang w:val="en-US"/>
        </w:rPr>
        <w:t>的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领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导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下，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结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合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番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禺疫情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的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实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际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情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况，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周密部署度过了难关，习近平总书记最近指出，‘总结经验，吸取教训，针对这次疫情暴露出来的短板，和不足，抓紧补短板，堵漏洞、强弱项。’保障人民群众身体健康，我们九三学社番禺委员会认为今后各种重大疫情有可能随时会发生，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充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分利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  <w:lang w:val="en-US"/>
        </w:rPr>
        <w:t>用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</w:rPr>
        <w:t>番禺区现有</w:t>
      </w:r>
      <w:r>
        <w:rPr>
          <w:rFonts w:hint="eastAsia" w:ascii="仿宋" w:hAnsi="仿宋" w:eastAsia="仿宋" w:cs="仿宋"/>
          <w:color w:val="000007"/>
          <w:spacing w:val="-7"/>
          <w:sz w:val="32"/>
          <w:szCs w:val="32"/>
          <w:lang w:val="en-US"/>
        </w:rPr>
        <w:t>资</w:t>
      </w:r>
      <w:r>
        <w:rPr>
          <w:rFonts w:hint="eastAsia" w:ascii="仿宋" w:hAnsi="仿宋" w:eastAsia="仿宋" w:cs="仿宋"/>
          <w:color w:val="000007"/>
          <w:spacing w:val="-10"/>
          <w:sz w:val="32"/>
          <w:szCs w:val="32"/>
        </w:rPr>
        <w:t>源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，预先更好地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</w:rPr>
        <w:t>部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局番禺的疫情防控</w:t>
      </w:r>
      <w:r>
        <w:rPr>
          <w:rFonts w:hint="eastAsia" w:ascii="仿宋" w:hAnsi="仿宋" w:eastAsia="仿宋" w:cs="仿宋"/>
          <w:color w:val="000007"/>
          <w:spacing w:val="-5"/>
          <w:sz w:val="32"/>
          <w:szCs w:val="32"/>
          <w:lang w:val="en-US"/>
        </w:rPr>
        <w:t>非</w:t>
      </w:r>
      <w:r>
        <w:rPr>
          <w:rFonts w:hint="eastAsia" w:ascii="仿宋" w:hAnsi="仿宋" w:eastAsia="仿宋" w:cs="仿宋"/>
          <w:color w:val="000007"/>
          <w:spacing w:val="-3"/>
          <w:sz w:val="32"/>
          <w:szCs w:val="32"/>
        </w:rPr>
        <w:t>常必要。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1"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番禺的医疗资源以及附近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口情况：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88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番禺区中心医院、番禺中医院、何贤医院、广医二院番禺院区，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大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学城省中医院，服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务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全区固定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口约</w:t>
      </w:r>
      <w:r>
        <w:rPr>
          <w:rFonts w:hint="eastAsia" w:ascii="仿宋" w:hAnsi="仿宋" w:eastAsia="仿宋" w:cs="仿宋"/>
          <w:color w:val="000007"/>
          <w:spacing w:val="-6"/>
          <w:w w:val="95"/>
          <w:sz w:val="32"/>
          <w:szCs w:val="32"/>
        </w:rPr>
        <w:t>94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万，流动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口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约</w:t>
      </w:r>
      <w:r>
        <w:rPr>
          <w:rFonts w:hint="eastAsia" w:ascii="仿宋" w:hAnsi="仿宋" w:eastAsia="仿宋" w:cs="仿宋"/>
          <w:color w:val="000007"/>
          <w:spacing w:val="-6"/>
          <w:w w:val="95"/>
          <w:sz w:val="32"/>
          <w:szCs w:val="32"/>
        </w:rPr>
        <w:t>300</w:t>
      </w:r>
      <w:r>
        <w:rPr>
          <w:rFonts w:hint="eastAsia" w:ascii="仿宋" w:hAnsi="仿宋" w:eastAsia="仿宋" w:cs="仿宋"/>
          <w:color w:val="000007"/>
          <w:spacing w:val="-4"/>
          <w:w w:val="95"/>
          <w:sz w:val="32"/>
          <w:szCs w:val="32"/>
        </w:rPr>
        <w:t>万。各镇医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院服务的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口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  <w:lang w:val="en-US"/>
        </w:rPr>
        <w:t>大</w:t>
      </w:r>
      <w:r>
        <w:rPr>
          <w:rFonts w:hint="eastAsia" w:ascii="仿宋" w:hAnsi="仿宋" w:eastAsia="仿宋" w:cs="仿宋"/>
          <w:color w:val="000007"/>
          <w:spacing w:val="-5"/>
          <w:w w:val="95"/>
          <w:sz w:val="32"/>
          <w:szCs w:val="32"/>
        </w:rPr>
        <w:t>约在</w:t>
      </w:r>
      <w:r>
        <w:rPr>
          <w:rFonts w:hint="eastAsia" w:ascii="仿宋" w:hAnsi="仿宋" w:eastAsia="仿宋" w:cs="仿宋"/>
          <w:color w:val="000007"/>
          <w:spacing w:val="-7"/>
          <w:w w:val="95"/>
          <w:sz w:val="32"/>
          <w:szCs w:val="32"/>
        </w:rPr>
        <w:t>10万左右，市桥约</w:t>
      </w:r>
      <w:r>
        <w:rPr>
          <w:rFonts w:hint="eastAsia" w:ascii="仿宋" w:hAnsi="仿宋" w:eastAsia="仿宋" w:cs="仿宋"/>
          <w:color w:val="000007"/>
          <w:spacing w:val="-9"/>
          <w:w w:val="95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7"/>
          <w:spacing w:val="-8"/>
          <w:w w:val="95"/>
          <w:sz w:val="32"/>
          <w:szCs w:val="32"/>
        </w:rPr>
        <w:t>万</w:t>
      </w:r>
      <w:r>
        <w:rPr>
          <w:rFonts w:hint="eastAsia" w:ascii="仿宋" w:hAnsi="仿宋" w:eastAsia="仿宋" w:cs="仿宋"/>
          <w:color w:val="000007"/>
          <w:spacing w:val="-8"/>
          <w:w w:val="95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pacing w:val="-8"/>
          <w:w w:val="95"/>
          <w:sz w:val="32"/>
          <w:szCs w:val="32"/>
        </w:rPr>
        <w:t>。流动</w:t>
      </w:r>
      <w:r>
        <w:rPr>
          <w:rFonts w:hint="eastAsia" w:ascii="仿宋" w:hAnsi="仿宋" w:eastAsia="仿宋" w:cs="仿宋"/>
          <w:color w:val="000007"/>
          <w:spacing w:val="-8"/>
          <w:w w:val="95"/>
          <w:sz w:val="32"/>
          <w:szCs w:val="32"/>
          <w:lang w:val="en-US"/>
        </w:rPr>
        <w:t>人</w:t>
      </w:r>
      <w:r>
        <w:rPr>
          <w:rFonts w:hint="eastAsia" w:ascii="仿宋" w:hAnsi="仿宋" w:eastAsia="仿宋" w:cs="仿宋"/>
          <w:color w:val="000007"/>
          <w:spacing w:val="-8"/>
          <w:w w:val="95"/>
          <w:sz w:val="32"/>
          <w:szCs w:val="32"/>
        </w:rPr>
        <w:t>口集中分布在</w:t>
      </w:r>
      <w:r>
        <w:rPr>
          <w:rFonts w:hint="eastAsia" w:ascii="仿宋" w:hAnsi="仿宋" w:eastAsia="仿宋" w:cs="仿宋"/>
          <w:color w:val="000007"/>
          <w:spacing w:val="-7"/>
          <w:w w:val="95"/>
          <w:sz w:val="32"/>
          <w:szCs w:val="32"/>
        </w:rPr>
        <w:t>南村、祈福、市桥、南郊，以及亚运城板块。医疗资源分布相对均衡，</w:t>
      </w:r>
      <w:r>
        <w:rPr>
          <w:rFonts w:hint="eastAsia" w:ascii="仿宋" w:hAnsi="仿宋" w:eastAsia="仿宋" w:cs="仿宋"/>
          <w:color w:val="000007"/>
          <w:spacing w:val="-7"/>
          <w:w w:val="95"/>
          <w:sz w:val="32"/>
          <w:szCs w:val="32"/>
          <w:lang w:val="en-US"/>
        </w:rPr>
        <w:t>面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对重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大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疫情，需要梳理和重复利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/>
        </w:rPr>
        <w:t>用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现有资源。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319" w:leftChars="145" w:firstLine="482" w:firstLineChars="15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7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color w:val="000007"/>
          <w:sz w:val="32"/>
          <w:szCs w:val="32"/>
        </w:rPr>
        <w:t>以大医院为核心，联动周边小医院，建立区域医疗网格</w:t>
      </w:r>
    </w:p>
    <w:p>
      <w:pPr>
        <w:keepNext w:val="0"/>
        <w:keepLines w:val="0"/>
        <w:pageBreakBefore w:val="0"/>
        <w:widowControl w:val="0"/>
        <w:tabs>
          <w:tab w:val="left" w:pos="14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5"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</w:rPr>
        <w:t>比如南郊以中心医院为核心，联动沙湾（妇女儿童除外，由何贤医院专管）、沙头等镇医院；何贤医院负责全区的妇女儿童群体，中医院联动大石南村等，广医二院番禺院区与石基石楼新造化龙等医院，广医二院番禺院区及亚运城体育馆地理位置独特、医疗技术全面，重大疫情暴发时，有能够做到快速病原体检测、疾病的多学科诊治、病人快速便捷转运的优势。广医二院番禺院区目前有500张床位，未来将扩建到1000张床为以上。为响应中央关于暴发疫情时要强联防联控的号召，番禺院区做为番禺东阈最大的医疗机构，可以担负起救治众多病人的重任。有庞大的广医技术团队支撑，广医二院可以调动广医系统在国内著名的优势学科，比如：呼研所、神研所、金阈检验中心等，可以做到疾病的早诊断、早治疗、多学科联合会诊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50" w:leftChars="68" w:firstLine="640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</w:rPr>
        <w:t>重大疫情发生时以片区为主，建立片区唯一的二维码进行统一管理，这样就杜绝病人扎堆现象。也能充分利用现有医疗资源，不会造成少数人忙碌大部分人无事可做的现象。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b/>
          <w:bCs/>
          <w:color w:val="000007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7"/>
          <w:sz w:val="32"/>
          <w:szCs w:val="32"/>
          <w:lang w:eastAsia="zh-CN"/>
        </w:rPr>
        <w:t>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7"/>
          <w:sz w:val="32"/>
          <w:szCs w:val="32"/>
        </w:rPr>
        <w:t>建议番禺尽早布局方舱医院位置，未雨绸缪应对突发卫生事件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1"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方舱医院是由各种功能不同的模块集聚而成，由原来的战地医院演变而来，其范围和功能和现在的三甲医院相当，属于流动医院。其最大的特点是：能拆装，可随时移动。武汉2⽉3号开始先后利</w:t>
      </w: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用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体育馆、展馆，建了约10000张床位的方舱医院，这也从根本上解决了暴发疫情时床位不足的问题。番禺方舱医院的选址，有以下几大块：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2"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7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7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000007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7"/>
          <w:sz w:val="32"/>
          <w:szCs w:val="32"/>
        </w:rPr>
        <w:t>英东体育馆：优势，位于老城区，但市桥及周边的病人比较便利。技术支撑：区中医院和何贤医院比较便利。体育馆的水电以及信息网络现成，无需过度改动，需要时可以直接搬进功能模块运作。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5"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亚运城体育馆：距离广医二院番禺院区不到100米的亚运城综合体育馆占地亩，用来做方舱医院最合适。而亚运城体育馆面积平方米，可以做成约3000张床位的方舱医院。附近有便利的交通网络，3号线贯穿番禺南北，7号线、4号线横跨番禺东西，南沙快速、广明、京珠高速在附近都有出入口，而且广明高速还把省疾控中心连成⼀条线，交通非常便利，对病员的快速转运可以起到很大的作用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5"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7"/>
          <w:sz w:val="32"/>
          <w:szCs w:val="32"/>
        </w:rPr>
      </w:pP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7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7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7"/>
          <w:sz w:val="32"/>
          <w:szCs w:val="32"/>
        </w:rPr>
        <w:t>这就需要政府牵头，联合卫健局、教育局、体育局、城建局、公安局参与，各司其责，联系各行业，比如：设备、信息、管道等牵扯到方舱医院的各种设备，做好报备，一旦启动方舱医院，各种设备要尽快到位。另外，提早安装调试好水电信息等，保证能随时做到三通。人员：由广二番禺院区牵头定期排训应急队伍的救治技能和自我保护技术，做好人员储备和流程。</w:t>
      </w:r>
    </w:p>
    <w:sectPr>
      <w:pgSz w:w="11906" w:h="16838"/>
      <w:pgMar w:top="1440" w:right="1306" w:bottom="878" w:left="136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D384A21"/>
    <w:rsid w:val="0000677A"/>
    <w:rsid w:val="000E502A"/>
    <w:rsid w:val="00142CB2"/>
    <w:rsid w:val="00183B69"/>
    <w:rsid w:val="00187AFD"/>
    <w:rsid w:val="001C70C1"/>
    <w:rsid w:val="001D1FBA"/>
    <w:rsid w:val="00263896"/>
    <w:rsid w:val="002826F6"/>
    <w:rsid w:val="002C425B"/>
    <w:rsid w:val="0033746B"/>
    <w:rsid w:val="003579C7"/>
    <w:rsid w:val="00530B0F"/>
    <w:rsid w:val="0079559E"/>
    <w:rsid w:val="008520A9"/>
    <w:rsid w:val="00863222"/>
    <w:rsid w:val="008F5894"/>
    <w:rsid w:val="009C1F96"/>
    <w:rsid w:val="00C55AC9"/>
    <w:rsid w:val="00D1723F"/>
    <w:rsid w:val="00D431EF"/>
    <w:rsid w:val="00DA4E6C"/>
    <w:rsid w:val="00DF6AB8"/>
    <w:rsid w:val="00E117AA"/>
    <w:rsid w:val="00EE5A2B"/>
    <w:rsid w:val="00F97B02"/>
    <w:rsid w:val="038716E2"/>
    <w:rsid w:val="06986EDF"/>
    <w:rsid w:val="0D384A21"/>
    <w:rsid w:val="0FD24E38"/>
    <w:rsid w:val="10180FF5"/>
    <w:rsid w:val="11AC233B"/>
    <w:rsid w:val="1AA52FAE"/>
    <w:rsid w:val="1C286301"/>
    <w:rsid w:val="22F17645"/>
    <w:rsid w:val="251E3726"/>
    <w:rsid w:val="254D1B64"/>
    <w:rsid w:val="26BC3869"/>
    <w:rsid w:val="2A971DBF"/>
    <w:rsid w:val="2D8F04D2"/>
    <w:rsid w:val="2F8D4707"/>
    <w:rsid w:val="38FF54D0"/>
    <w:rsid w:val="41AB66D4"/>
    <w:rsid w:val="42AB710E"/>
    <w:rsid w:val="43CF04E8"/>
    <w:rsid w:val="44D563B7"/>
    <w:rsid w:val="498F2705"/>
    <w:rsid w:val="50232235"/>
    <w:rsid w:val="55B61194"/>
    <w:rsid w:val="5C505BB8"/>
    <w:rsid w:val="5F577459"/>
    <w:rsid w:val="684848DC"/>
    <w:rsid w:val="691A753A"/>
    <w:rsid w:val="6ADB25DC"/>
    <w:rsid w:val="6C1C04BE"/>
    <w:rsid w:val="6FC6172B"/>
    <w:rsid w:val="71DC56F2"/>
    <w:rsid w:val="752E2768"/>
    <w:rsid w:val="7B9605F9"/>
    <w:rsid w:val="7F386409"/>
    <w:rsid w:val="BBDA7F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b/>
      <w:bCs/>
      <w:sz w:val="32"/>
      <w:szCs w:val="32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1"/>
    <w:pPr>
      <w:spacing w:before="7"/>
      <w:ind w:left="956"/>
    </w:pPr>
  </w:style>
  <w:style w:type="paragraph" w:customStyle="1" w:styleId="8">
    <w:name w:val="Table Paragraph"/>
    <w:basedOn w:val="1"/>
    <w:qFormat/>
    <w:uiPriority w:val="1"/>
    <w:pPr>
      <w:ind w:left="126"/>
    </w:pPr>
  </w:style>
  <w:style w:type="character" w:customStyle="1" w:styleId="9">
    <w:name w:val="页眉 Char"/>
    <w:basedOn w:val="6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0">
    <w:name w:val="页脚 Char"/>
    <w:basedOn w:val="6"/>
    <w:link w:val="3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CC376D-D249-4FAE-872C-9172F6A266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279</Words>
  <Characters>1594</Characters>
  <Lines>13</Lines>
  <Paragraphs>3</Paragraphs>
  <TotalTime>16</TotalTime>
  <ScaleCrop>false</ScaleCrop>
  <LinksUpToDate>false</LinksUpToDate>
  <CharactersWithSpaces>1870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2020-03-26T00:27:00Z</dcterms:created>
  <dc:creator>小米归玲（粤声）</dc:creator>
  <cp:lastModifiedBy>user</cp:lastModifiedBy>
  <cp:lastPrinted>2020-05-07T07:40:00Z</cp:lastPrinted>
  <dcterms:modified xsi:type="dcterms:W3CDTF">2022-11-15T07:45:00Z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