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宋体" w:hAnsi="宋体" w:eastAsia="宋体" w:cs="Times New Roman"/>
          <w:sz w:val="32"/>
          <w:szCs w:val="32"/>
        </w:rPr>
      </w:pPr>
      <w:r>
        <w:rPr>
          <w:rFonts w:hint="eastAsia" w:ascii="宋体" w:hAnsi="宋体" w:eastAsia="宋体" w:cs="Times New Roman"/>
          <w:sz w:val="32"/>
          <w:szCs w:val="32"/>
        </w:rPr>
        <w:t>第</w:t>
      </w:r>
      <w:r>
        <w:rPr>
          <w:rFonts w:hint="eastAsia" w:ascii="宋体" w:hAnsi="宋体" w:eastAsia="宋体" w:cs="Times New Roman"/>
          <w:sz w:val="32"/>
          <w:szCs w:val="32"/>
          <w:u w:val="single"/>
          <w:lang w:val="en-US" w:eastAsia="zh-CN"/>
        </w:rPr>
        <w:t xml:space="preserve">  8  </w:t>
      </w:r>
      <w:r>
        <w:rPr>
          <w:rFonts w:hint="eastAsia" w:ascii="宋体" w:hAnsi="宋体" w:eastAsia="宋体" w:cs="Times New Roman"/>
          <w:sz w:val="32"/>
          <w:szCs w:val="32"/>
        </w:rPr>
        <w:t>号</w:t>
      </w:r>
    </w:p>
    <w:p>
      <w:pPr>
        <w:jc w:val="center"/>
        <w:rPr>
          <w:rFonts w:ascii="小标宋" w:hAnsi="黑体" w:eastAsia="小标宋" w:cs="Times New Roman"/>
          <w:sz w:val="44"/>
          <w:szCs w:val="44"/>
        </w:rPr>
      </w:pPr>
      <w:r>
        <w:rPr>
          <w:rFonts w:hint="eastAsia" w:ascii="小标宋" w:hAnsi="黑体" w:eastAsia="小标宋" w:cs="Times New Roman"/>
          <w:sz w:val="44"/>
          <w:szCs w:val="44"/>
        </w:rPr>
        <w:t>番禺区政协十四届</w:t>
      </w:r>
      <w:r>
        <w:rPr>
          <w:rFonts w:hint="eastAsia" w:ascii="小标宋" w:hAnsi="黑体" w:eastAsia="小标宋" w:cs="Times New Roman"/>
          <w:sz w:val="44"/>
          <w:szCs w:val="44"/>
          <w:lang w:val="en-US" w:eastAsia="zh-CN"/>
        </w:rPr>
        <w:t>五</w:t>
      </w:r>
      <w:r>
        <w:rPr>
          <w:rFonts w:hint="eastAsia" w:ascii="小标宋" w:hAnsi="黑体" w:eastAsia="小标宋" w:cs="Times New Roman"/>
          <w:sz w:val="44"/>
          <w:szCs w:val="44"/>
        </w:rPr>
        <w:t>次会议提案</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cs="Times New Roman"/>
                <w:sz w:val="32"/>
                <w:szCs w:val="32"/>
              </w:rPr>
            </w:pPr>
            <w:r>
              <w:rPr>
                <w:rFonts w:hint="eastAsia" w:ascii="FangSong_GB2312" w:hAnsi="宋体" w:eastAsia="FangSong_GB2312" w:cs="Times New Roman"/>
                <w:sz w:val="32"/>
                <w:szCs w:val="32"/>
              </w:rPr>
              <w:t>题目</w:t>
            </w:r>
          </w:p>
        </w:tc>
        <w:tc>
          <w:tcPr>
            <w:tcW w:w="6571"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cs="Times New Roman"/>
                <w:sz w:val="32"/>
                <w:szCs w:val="32"/>
              </w:rPr>
            </w:pPr>
            <w:r>
              <w:rPr>
                <w:rFonts w:hint="eastAsia" w:ascii="FangSong_GB2312" w:hAnsi="宋体" w:eastAsia="FangSong_GB2312" w:cs="Times New Roman"/>
                <w:sz w:val="32"/>
                <w:szCs w:val="32"/>
                <w:lang w:val="en-US" w:eastAsia="zh-CN"/>
              </w:rPr>
              <w:t>关于加快布局工业互联网，推动番禺区小微企业创新发展建议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cs="Times New Roman"/>
                <w:sz w:val="32"/>
                <w:szCs w:val="32"/>
              </w:rPr>
            </w:pPr>
            <w:r>
              <w:rPr>
                <w:rFonts w:hint="eastAsia" w:ascii="FangSong_GB2312" w:hAnsi="宋体" w:eastAsia="FangSong_GB2312" w:cs="Times New Roman"/>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cs="Times New Roman"/>
                <w:sz w:val="32"/>
                <w:szCs w:val="32"/>
              </w:rPr>
            </w:pPr>
            <w:r>
              <w:rPr>
                <w:rFonts w:ascii="FangSong_GB2312" w:hAnsi="宋体" w:eastAsia="FangSong_GB2312" w:cs="Times New Roman"/>
                <w:sz w:val="32"/>
                <w:szCs w:val="32"/>
              </w:rPr>
              <w:t xml:space="preserve">   刘悦敏</w:t>
            </w:r>
          </w:p>
        </w:tc>
        <w:tc>
          <w:tcPr>
            <w:tcW w:w="1276" w:type="dxa"/>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cs="Times New Roman"/>
                <w:sz w:val="32"/>
                <w:szCs w:val="32"/>
              </w:rPr>
            </w:pPr>
            <w:r>
              <w:rPr>
                <w:rFonts w:hint="eastAsia" w:ascii="FangSong_GB2312" w:hAnsi="宋体" w:eastAsia="FangSong_GB2312" w:cs="Times New Roman"/>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cs="Times New Roman"/>
                <w:sz w:val="32"/>
                <w:szCs w:val="32"/>
              </w:rPr>
            </w:pPr>
            <w:r>
              <w:rPr>
                <w:rFonts w:ascii="FangSong_GB2312" w:hAnsi="宋体" w:eastAsia="FangSong_GB2312" w:cs="Times New Roman"/>
                <w:sz w:val="32"/>
                <w:szCs w:val="32"/>
              </w:rPr>
              <w:t xml:space="preserve"> 刘悦敏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cs="Times New Roman"/>
                <w:sz w:val="32"/>
                <w:szCs w:val="32"/>
              </w:rPr>
            </w:pPr>
            <w:r>
              <w:rPr>
                <w:rFonts w:hint="eastAsia" w:ascii="FangSong_GB2312" w:hAnsi="宋体" w:eastAsia="FangSong_GB2312" w:cs="Times New Roman"/>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cs="Times New Roman"/>
                <w:sz w:val="32"/>
                <w:szCs w:val="32"/>
              </w:rPr>
            </w:pPr>
            <w:r>
              <w:rPr>
                <w:rFonts w:ascii="FangSong_GB2312" w:hAnsi="宋体" w:eastAsia="FangSong_GB2312" w:cs="Times New Roman"/>
                <w:sz w:val="32"/>
                <w:szCs w:val="32"/>
              </w:rPr>
              <w:t>民建</w:t>
            </w:r>
            <w:r>
              <w:rPr>
                <w:rFonts w:hint="eastAsia" w:ascii="FangSong_GB2312" w:hAnsi="宋体" w:eastAsia="FangSong_GB2312" w:cs="Times New Roman"/>
                <w:sz w:val="32"/>
                <w:szCs w:val="32"/>
                <w:lang w:val="en-US" w:eastAsia="zh-CN"/>
              </w:rPr>
              <w:t>番禺区</w:t>
            </w:r>
            <w:r>
              <w:rPr>
                <w:rFonts w:ascii="FangSong_GB2312" w:hAnsi="宋体" w:eastAsia="FangSong_GB2312" w:cs="Times New Roman"/>
                <w:sz w:val="32"/>
                <w:szCs w:val="32"/>
              </w:rPr>
              <w:t>基层委</w:t>
            </w:r>
          </w:p>
        </w:tc>
        <w:tc>
          <w:tcPr>
            <w:tcW w:w="1276" w:type="dxa"/>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cs="Times New Roman"/>
                <w:sz w:val="32"/>
                <w:szCs w:val="32"/>
              </w:rPr>
            </w:pPr>
            <w:r>
              <w:rPr>
                <w:rFonts w:hint="eastAsia" w:ascii="FangSong_GB2312" w:hAnsi="宋体" w:eastAsia="FangSong_GB2312" w:cs="Times New Roman"/>
                <w:sz w:val="32"/>
                <w:szCs w:val="32"/>
              </w:rPr>
              <w:t>职务</w:t>
            </w:r>
          </w:p>
        </w:tc>
        <w:tc>
          <w:tcPr>
            <w:tcW w:w="2318"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cs="Times New Roman"/>
                <w:sz w:val="32"/>
                <w:szCs w:val="32"/>
              </w:rPr>
            </w:pPr>
            <w:r>
              <w:rPr>
                <w:rFonts w:hint="eastAsia" w:ascii="FangSong_GB2312" w:hAnsi="宋体" w:eastAsia="FangSong_GB2312" w:cs="Times New Roman"/>
                <w:sz w:val="32"/>
                <w:szCs w:val="32"/>
              </w:rPr>
              <w:t xml:space="preserve"> </w:t>
            </w:r>
            <w:r>
              <w:rPr>
                <w:rFonts w:ascii="FangSong_GB2312" w:hAnsi="宋体" w:eastAsia="FangSong_GB2312" w:cs="Times New Roman"/>
                <w:sz w:val="32"/>
                <w:szCs w:val="32"/>
              </w:rPr>
              <w:t>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cs="Times New Roman"/>
                <w:sz w:val="32"/>
                <w:szCs w:val="32"/>
              </w:rPr>
            </w:pPr>
            <w:r>
              <w:rPr>
                <w:rFonts w:hint="eastAsia" w:ascii="FangSong_GB2312" w:hAnsi="宋体" w:eastAsia="FangSong_GB2312" w:cs="Times New Roman"/>
                <w:sz w:val="32"/>
                <w:szCs w:val="32"/>
              </w:rPr>
              <w:t>手机号码</w:t>
            </w:r>
          </w:p>
        </w:tc>
        <w:tc>
          <w:tcPr>
            <w:tcW w:w="2693" w:type="dxa"/>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cs="Times New Roman"/>
                <w:sz w:val="32"/>
                <w:szCs w:val="32"/>
              </w:rPr>
            </w:pPr>
          </w:p>
        </w:tc>
        <w:tc>
          <w:tcPr>
            <w:tcW w:w="156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cs="Times New Roman"/>
                <w:sz w:val="32"/>
                <w:szCs w:val="32"/>
              </w:rPr>
            </w:pPr>
            <w:r>
              <w:rPr>
                <w:rFonts w:hint="eastAsia" w:ascii="FangSong_GB2312" w:hAnsi="宋体" w:eastAsia="FangSong_GB2312" w:cs="Times New Roman"/>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tcPr>
          <w:p>
            <w:pPr>
              <w:spacing w:line="680" w:lineRule="exact"/>
              <w:rPr>
                <w:rFonts w:hint="eastAsia" w:ascii="FangSong_GB2312" w:hAnsi="宋体" w:eastAsia="FangSong_GB2312" w:cs="Times New Roman"/>
                <w:sz w:val="32"/>
                <w:szCs w:val="32"/>
                <w:lang w:val="en-US"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cs="Times New Roman"/>
                <w:sz w:val="32"/>
                <w:szCs w:val="32"/>
              </w:rPr>
            </w:pPr>
            <w:r>
              <w:rPr>
                <w:rFonts w:hint="eastAsia" w:ascii="FangSong_GB2312" w:hAnsi="宋体" w:eastAsia="FangSong_GB2312" w:cs="Times New Roman"/>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cs="Times New Roman"/>
                <w:sz w:val="32"/>
                <w:szCs w:val="32"/>
              </w:rPr>
            </w:pPr>
          </w:p>
        </w:tc>
        <w:tc>
          <w:tcPr>
            <w:tcW w:w="992" w:type="dxa"/>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cs="Times New Roman"/>
                <w:sz w:val="32"/>
                <w:szCs w:val="32"/>
              </w:rPr>
            </w:pPr>
            <w:r>
              <w:rPr>
                <w:rFonts w:hint="eastAsia" w:ascii="FangSong_GB2312" w:hAnsi="宋体" w:eastAsia="FangSong_GB2312" w:cs="Times New Roman"/>
                <w:sz w:val="32"/>
                <w:szCs w:val="32"/>
              </w:rPr>
              <w:t>邮编</w:t>
            </w:r>
          </w:p>
        </w:tc>
        <w:tc>
          <w:tcPr>
            <w:tcW w:w="1326" w:type="dxa"/>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cs="Times New Roman"/>
                <w:sz w:val="32"/>
                <w:szCs w:val="32"/>
              </w:rPr>
            </w:pPr>
            <w:r>
              <w:rPr>
                <w:rFonts w:hint="eastAsia" w:ascii="FangSong_GB2312" w:hAnsi="宋体" w:eastAsia="FangSong_GB2312" w:cs="Times New Roman"/>
                <w:sz w:val="32"/>
                <w:szCs w:val="32"/>
              </w:rPr>
              <w:t>510000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cs="Times New Roman"/>
                <w:sz w:val="32"/>
                <w:szCs w:val="32"/>
              </w:rPr>
            </w:pPr>
            <w:r>
              <w:rPr>
                <w:rFonts w:hint="eastAsia" w:ascii="FangSong_GB2312" w:hAnsi="宋体" w:eastAsia="FangSong_GB2312" w:cs="Times New Roman"/>
                <w:sz w:val="32"/>
                <w:szCs w:val="32"/>
              </w:rPr>
              <w:t>联名提案人</w:t>
            </w:r>
          </w:p>
          <w:p>
            <w:pPr>
              <w:spacing w:line="680" w:lineRule="exact"/>
              <w:jc w:val="center"/>
              <w:rPr>
                <w:rFonts w:ascii="FangSong_GB2312" w:hAnsi="宋体" w:eastAsia="FangSong_GB2312" w:cs="Times New Roman"/>
                <w:spacing w:val="-14"/>
                <w:sz w:val="32"/>
                <w:szCs w:val="32"/>
              </w:rPr>
            </w:pPr>
            <w:r>
              <w:rPr>
                <w:rFonts w:hint="eastAsia" w:ascii="FangSong_GB2312" w:hAnsi="宋体" w:eastAsia="FangSong_GB2312" w:cs="Times New Roman"/>
                <w:spacing w:val="-14"/>
                <w:sz w:val="32"/>
                <w:szCs w:val="32"/>
              </w:rPr>
              <w:t>（如</w:t>
            </w:r>
            <w:r>
              <w:rPr>
                <w:rFonts w:hint="eastAsia" w:ascii="FangSong_GB2312" w:hAnsi="宋体" w:eastAsia="FangSong_GB2312" w:cs="Times New Roman"/>
                <w:spacing w:val="-14"/>
                <w:sz w:val="28"/>
                <w:szCs w:val="28"/>
              </w:rPr>
              <w:t>人数较多，可另附于文后</w:t>
            </w:r>
            <w:r>
              <w:rPr>
                <w:rFonts w:hint="eastAsia" w:ascii="FangSong_GB2312" w:hAnsi="宋体" w:eastAsia="FangSong_GB2312" w:cs="Times New Roman"/>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cs="Times New Roman"/>
                <w:sz w:val="32"/>
                <w:szCs w:val="32"/>
              </w:rPr>
            </w:pPr>
            <w:r>
              <w:rPr>
                <w:rFonts w:hint="eastAsia" w:ascii="FangSong_GB2312" w:hAnsi="宋体" w:eastAsia="FangSong_GB2312" w:cs="Times New Roman"/>
                <w:sz w:val="32"/>
                <w:szCs w:val="32"/>
              </w:rPr>
              <w:t>提案委员会</w:t>
            </w:r>
          </w:p>
          <w:p>
            <w:pPr>
              <w:spacing w:line="680" w:lineRule="exact"/>
              <w:jc w:val="center"/>
              <w:rPr>
                <w:rFonts w:ascii="FangSong_GB2312" w:hAnsi="宋体" w:eastAsia="FangSong_GB2312" w:cs="Times New Roman"/>
                <w:sz w:val="32"/>
                <w:szCs w:val="32"/>
              </w:rPr>
            </w:pPr>
            <w:r>
              <w:rPr>
                <w:rFonts w:hint="eastAsia" w:ascii="FangSong_GB2312" w:hAnsi="宋体" w:eastAsia="FangSong_GB2312" w:cs="Times New Roman"/>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cs="Times New Roman"/>
                <w:sz w:val="32"/>
                <w:szCs w:val="32"/>
              </w:rPr>
            </w:pPr>
          </w:p>
        </w:tc>
      </w:tr>
    </w:tbl>
    <w:p>
      <w:pPr>
        <w:spacing w:line="680" w:lineRule="exact"/>
        <w:rPr>
          <w:rFonts w:ascii="黑体" w:hAnsi="黑体" w:eastAsia="黑体" w:cs="Times New Roman"/>
          <w:sz w:val="32"/>
          <w:szCs w:val="32"/>
        </w:rPr>
      </w:pPr>
      <w:r>
        <w:rPr>
          <w:rFonts w:hint="eastAsia" w:ascii="黑体" w:hAnsi="黑体" w:eastAsia="黑体" w:cs="Times New Roman"/>
          <w:sz w:val="32"/>
          <w:szCs w:val="32"/>
        </w:rPr>
        <w:t>根据实际情况在○内打勾确认：</w:t>
      </w:r>
    </w:p>
    <w:p>
      <w:pPr>
        <w:spacing w:line="440" w:lineRule="exact"/>
        <w:rPr>
          <w:rFonts w:ascii="宋体" w:hAnsi="宋体" w:eastAsia="宋体" w:cs="Times New Roman"/>
          <w:b/>
          <w:sz w:val="30"/>
          <w:szCs w:val="30"/>
        </w:rPr>
      </w:pPr>
      <w:r>
        <w:rPr>
          <w:rFonts w:hint="eastAsia" w:ascii="宋体" w:hAnsi="宋体" w:eastAsia="宋体" w:cs="Times New Roman"/>
          <w:b/>
          <w:sz w:val="30"/>
          <w:szCs w:val="30"/>
        </w:rPr>
        <w:t>提案基本情况：</w:t>
      </w:r>
    </w:p>
    <w:p>
      <w:pPr>
        <w:spacing w:line="440" w:lineRule="exact"/>
        <w:rPr>
          <w:rFonts w:ascii="宋体" w:hAnsi="Times New Roman" w:eastAsia="宋体" w:cs="Times New Roman"/>
          <w:b/>
          <w:sz w:val="30"/>
          <w:szCs w:val="30"/>
        </w:rPr>
      </w:pPr>
      <w:r>
        <w:rPr>
          <w:rFonts w:hint="eastAsia" w:ascii="宋体" w:hAnsi="Times New Roman" w:eastAsia="宋体" w:cs="Times New Roman"/>
          <w:b/>
          <w:sz w:val="30"/>
          <w:szCs w:val="30"/>
        </w:rPr>
        <w:t>√</w:t>
      </w:r>
      <w:r>
        <w:rPr>
          <w:rFonts w:hint="eastAsia" w:ascii="宋体" w:hAnsi="宋体" w:eastAsia="宋体" w:cs="Times New Roman"/>
          <w:sz w:val="30"/>
          <w:szCs w:val="30"/>
        </w:rPr>
        <w:t>经过调研</w:t>
      </w:r>
      <w:r>
        <w:rPr>
          <w:rFonts w:hint="eastAsia" w:ascii="宋体" w:hAnsi="Times New Roman" w:eastAsia="宋体" w:cs="Times New Roman"/>
          <w:b/>
          <w:sz w:val="30"/>
          <w:szCs w:val="30"/>
        </w:rPr>
        <w:t>√</w:t>
      </w:r>
      <w:r>
        <w:rPr>
          <w:rFonts w:hint="eastAsia" w:ascii="宋体" w:hAnsi="宋体" w:eastAsia="宋体" w:cs="Times New Roman"/>
          <w:sz w:val="30"/>
          <w:szCs w:val="30"/>
        </w:rPr>
        <w:t>由本人撰写</w:t>
      </w:r>
      <w:r>
        <w:rPr>
          <w:rFonts w:hint="eastAsia" w:ascii="宋体" w:hAnsi="Times New Roman" w:eastAsia="宋体" w:cs="Times New Roman"/>
          <w:b/>
          <w:sz w:val="30"/>
          <w:szCs w:val="30"/>
        </w:rPr>
        <w:t>√</w:t>
      </w:r>
      <w:r>
        <w:rPr>
          <w:rFonts w:hint="eastAsia" w:ascii="宋体" w:hAnsi="宋体" w:eastAsia="宋体" w:cs="Times New Roman"/>
          <w:sz w:val="30"/>
          <w:szCs w:val="30"/>
        </w:rPr>
        <w:t>第一次提出</w:t>
      </w:r>
      <w:r>
        <w:rPr>
          <w:rFonts w:hint="eastAsia" w:ascii="宋体" w:hAnsi="Times New Roman" w:eastAsia="宋体" w:cs="Times New Roman"/>
          <w:b/>
          <w:sz w:val="30"/>
          <w:szCs w:val="30"/>
        </w:rPr>
        <w:t>√</w:t>
      </w:r>
      <w:r>
        <w:rPr>
          <w:rFonts w:hint="eastAsia" w:ascii="宋体" w:hAnsi="宋体" w:eastAsia="宋体" w:cs="Times New Roman"/>
          <w:sz w:val="30"/>
          <w:szCs w:val="30"/>
        </w:rPr>
        <w:t>同意公开</w:t>
      </w:r>
    </w:p>
    <w:p>
      <w:pPr>
        <w:spacing w:line="440" w:lineRule="exact"/>
        <w:rPr>
          <w:rFonts w:ascii="宋体" w:hAnsi="宋体" w:eastAsia="宋体" w:cs="Times New Roman"/>
          <w:b/>
          <w:sz w:val="30"/>
          <w:szCs w:val="30"/>
        </w:rPr>
      </w:pPr>
      <w:r>
        <w:rPr>
          <w:rFonts w:hint="eastAsia" w:ascii="宋体" w:hAnsi="宋体" w:eastAsia="宋体" w:cs="Times New Roman"/>
          <w:b/>
          <w:sz w:val="30"/>
          <w:szCs w:val="30"/>
        </w:rPr>
        <w:t>建议协商方式：</w:t>
      </w:r>
    </w:p>
    <w:p>
      <w:pPr>
        <w:spacing w:line="440" w:lineRule="exact"/>
        <w:rPr>
          <w:rFonts w:ascii="宋体" w:hAnsi="Times New Roman" w:eastAsia="宋体" w:cs="Times New Roman"/>
          <w:b/>
          <w:sz w:val="30"/>
          <w:szCs w:val="30"/>
        </w:rPr>
      </w:pPr>
      <w:r>
        <w:rPr>
          <w:rFonts w:hint="eastAsia" w:ascii="宋体" w:hAnsi="Times New Roman" w:eastAsia="宋体" w:cs="Times New Roman"/>
          <w:b/>
          <w:sz w:val="30"/>
          <w:szCs w:val="30"/>
        </w:rPr>
        <w:t>√</w:t>
      </w:r>
      <w:r>
        <w:rPr>
          <w:rFonts w:hint="eastAsia" w:ascii="宋体" w:hAnsi="宋体" w:eastAsia="宋体" w:cs="Times New Roman"/>
          <w:sz w:val="30"/>
          <w:szCs w:val="30"/>
        </w:rPr>
        <w:t>电话</w:t>
      </w:r>
      <w:r>
        <w:rPr>
          <w:rFonts w:hint="eastAsia" w:ascii="宋体" w:hAnsi="Times New Roman" w:eastAsia="宋体" w:cs="Times New Roman"/>
          <w:b/>
          <w:sz w:val="30"/>
          <w:szCs w:val="30"/>
        </w:rPr>
        <w:t>√</w:t>
      </w:r>
      <w:r>
        <w:rPr>
          <w:rFonts w:hint="eastAsia" w:ascii="宋体" w:hAnsi="宋体" w:eastAsia="宋体" w:cs="Times New Roman"/>
          <w:sz w:val="30"/>
          <w:szCs w:val="30"/>
        </w:rPr>
        <w:t>走访</w:t>
      </w:r>
      <w:r>
        <w:rPr>
          <w:rFonts w:hint="eastAsia" w:ascii="宋体" w:hAnsi="Times New Roman" w:eastAsia="宋体" w:cs="Times New Roman"/>
          <w:b/>
          <w:sz w:val="30"/>
          <w:szCs w:val="30"/>
        </w:rPr>
        <w:t>√</w:t>
      </w:r>
      <w:r>
        <w:rPr>
          <w:rFonts w:hint="eastAsia" w:ascii="宋体" w:hAnsi="宋体" w:eastAsia="宋体" w:cs="Times New Roman"/>
          <w:sz w:val="30"/>
          <w:szCs w:val="30"/>
        </w:rPr>
        <w:t>座谈</w:t>
      </w:r>
    </w:p>
    <w:p>
      <w:pPr>
        <w:spacing w:line="440" w:lineRule="exact"/>
        <w:rPr>
          <w:rFonts w:ascii="宋体" w:hAnsi="宋体" w:eastAsia="宋体" w:cs="Times New Roman"/>
          <w:b/>
          <w:sz w:val="30"/>
          <w:szCs w:val="30"/>
        </w:rPr>
      </w:pPr>
      <w:r>
        <w:rPr>
          <w:rFonts w:hint="eastAsia" w:ascii="宋体" w:hAnsi="宋体" w:eastAsia="宋体" w:cs="Times New Roman"/>
          <w:b/>
          <w:sz w:val="30"/>
          <w:szCs w:val="30"/>
        </w:rPr>
        <w:t>建议办理单位：</w:t>
      </w:r>
    </w:p>
    <w:p>
      <w:pPr>
        <w:pStyle w:val="9"/>
        <w:numPr>
          <w:ilvl w:val="0"/>
          <w:numId w:val="1"/>
        </w:numPr>
        <w:spacing w:line="440" w:lineRule="exact"/>
        <w:ind w:firstLineChars="0"/>
        <w:rPr>
          <w:rFonts w:ascii="宋体" w:hAnsi="Times New Roman" w:eastAsia="宋体" w:cs="Times New Roman"/>
          <w:sz w:val="30"/>
          <w:szCs w:val="30"/>
        </w:rPr>
      </w:pPr>
      <w:r>
        <w:rPr>
          <w:rFonts w:hint="eastAsia" w:ascii="宋体" w:hAnsi="Times New Roman" w:eastAsia="宋体" w:cs="Times New Roman"/>
          <w:sz w:val="30"/>
          <w:szCs w:val="30"/>
        </w:rPr>
        <w:t>区政府</w:t>
      </w:r>
      <w:r>
        <w:rPr>
          <w:rFonts w:hint="eastAsia" w:ascii="宋体" w:hAnsi="Times New Roman" w:eastAsia="宋体" w:cs="Times New Roman"/>
          <w:sz w:val="30"/>
          <w:szCs w:val="30"/>
          <w:lang w:val="en-US" w:eastAsia="zh-CN"/>
        </w:rPr>
        <w:t xml:space="preserve"> 2.区科工商信局 3.区市场监管局 </w:t>
      </w:r>
    </w:p>
    <w:p>
      <w:pPr>
        <w:spacing w:line="680" w:lineRule="exact"/>
        <w:rPr>
          <w:rFonts w:hint="eastAsia" w:ascii="黑体" w:hAnsi="黑体" w:eastAsia="黑体" w:cs="黑体"/>
          <w:sz w:val="32"/>
          <w:szCs w:val="32"/>
          <w:lang w:val="en-US" w:eastAsia="zh-CN"/>
        </w:rPr>
      </w:pPr>
      <w:r>
        <w:rPr>
          <w:rFonts w:hint="eastAsia" w:ascii="黑体" w:hAnsi="黑体" w:eastAsia="黑体" w:cs="黑体"/>
          <w:b/>
          <w:bCs/>
          <w:sz w:val="32"/>
          <w:szCs w:val="32"/>
          <w:lang w:val="en-US" w:eastAsia="zh-CN"/>
        </w:rPr>
        <w:t>理由：</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一、番禺区工业互联网发展现状</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现代社会正全面加速迈入工业互联网时代。2019年1月，广州市为贯彻落实《国务院关于深化“互联网＋先进制造业”发展工业互联网的指导意见》和《广东省人民政府关于印发广东省深化“互联网＋先进制造业”发展工业互联网实施方案及配套政策措施的通知》等文件精神，深入实施工业互联网创新发展战略，推动互联网与制造业深度融合，促进制造业转型升级，特制定《广州市深化“互联网＋先进制造业”发展工业互联网的行动计划》（以下简称《行动计划》）。《行动计划》提出，到2020年，广州市率先形成国内领先的工业互联网基础设施和产业体系。</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广州对信息化建设高度重视。2018年11月，工业互联网标识解析国家顶级节点（广州）正式开通，广州是继北京、武汉之后的国家顶级节点，在粤港澳大湾区范围内，广州是唯一的顶级节点。自2017年下半年以来，广州陆续引进了树根互联、阿里云、航天云网、浪潮等10多家国内知名的工业互联网平台，培育了中设智控、机智云、裕申、中和等一批行业领先的本土工业互联网平台，迅速形成了工业互联网发展的平台优势。产业的示范应用方面也初见成效，机器设备、机器人、汽车配件、塑料等都是国内的龙头产业，这类行业已经出现一批具有竞争力的工业互联网企业。</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作为广州高校资源丰富、人才资源聚集的区域，番禺区发展工业互联网具有一定的基础和优势，番禺区近年来正在推进新一代信息技术、工业互联网等信息产业发展应用，引导信息产业集聚发展，推进产业重大示范项目实施和产业基地、服务平台建设，但目前番禺区大量中小企业仍然不能实现智能制造，工业互联网仍然处于初级水平。如何借助广州已经形成的工业互联网发展优势，把握工业互联网发展趋势和机遇，助力小微企业快速实现信息化、智能化，是番禺区目前面临的重大课题。</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    二、番禺区小微企业接入工业互联网存在的问题</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番禺区小微企业接入工业互联网具有重大的战略意义。番禺区加快布局工业互联网，不仅可以着眼打造智能工厂，实现智能生产，还可以提供智能增值服务，甚至建立云平台，为全国、全世界的工业企业提供个性化产品与服务。实现对制造业末端的降本增效。小微企业接入工业互联网，实时抓取数据，实现对生产行业实时监控；云计算模式形成决策并反过来指导设备运转。但目前行业在工业互联网的建设与布局中，小微企业接入工业互联网仍面临诸多痛点，主要问题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（1）成本高是中小企业转型意愿不强、难以接入工业互联网的主因。投入30~50万对于小微企业是一笔非常大的负担，高投入直接影响企业的接入意愿，使得大量企业仍然处于观望中。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（2）投入回报问题。技术的成熟度、后续投入，是小微企业家关心的问题。另外，相关补贴不能及时到位等问题，特别是政府扶持模式多为事后补贴，让很多企业不敢轻易尝试。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（3）应用效果。工业互联网作为一种新技术，它的应用模式还在探索中。管理如何适应新技术等，如何实现高效益，降低成本，这类预期效果不明确，则企业的投入意愿极低。</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4）行业标准缺失导致数据采集难度大、实施难。源头端数据采集，是工业互联网的基础。但目前数据接口、格式标准不统一导致数据采集难的问题的确存在。国外进口设备的数据接口和数据格式有自己的标准，封闭性比较强，获取数据的难度则更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（5）系统安全和数据安全性问题。设备植入芯片后，在开放、互联和智能环境下，网络和信息安全保障尤为重要，网络安全威胁已从信息安全扩展到工业生产安全乃至国家安全的范围。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（6）人才储备极度缺乏，招录难度极高。工业互联网所需的既精通工业技术又懂信息技术的跨界融合人才，目前极度缺乏。并且该领域人才薪酬水涨船高，将出现企业在人才引进上的投入与产出不匹配的现象。</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建议：</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b w:val="0"/>
          <w:bCs w:val="0"/>
          <w:sz w:val="32"/>
          <w:szCs w:val="32"/>
          <w:lang w:val="en-US" w:eastAsia="zh-CN"/>
        </w:rPr>
        <w:t xml:space="preserve"> 一、政府的引导及资金支持，对于新兴产业重要性仍然非常高。</w:t>
      </w:r>
      <w:r>
        <w:rPr>
          <w:rFonts w:hint="eastAsia" w:ascii="仿宋" w:hAnsi="仿宋" w:eastAsia="仿宋" w:cs="仿宋"/>
          <w:sz w:val="32"/>
          <w:szCs w:val="32"/>
          <w:lang w:val="en-US" w:eastAsia="zh-CN"/>
        </w:rPr>
        <w:t>番禺相关部门可充分利用在消费互联网发展中积累的创新经验，在工业互联网中充分发挥政策的因势利导、发挥市场主体的作用，以问题为导向精准施策，将番禺的小微企业工业互联网接入打造成为国内的示范和标杆城市。建议根据典型行业、行业典型场景，通过树立标杆，推动有条件的行业和企业先行先试，形成示范效应，逐步带动其他行业、产业布局，小网变大网。</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b w:val="0"/>
          <w:bCs w:val="0"/>
          <w:sz w:val="32"/>
          <w:szCs w:val="32"/>
          <w:lang w:val="en-US" w:eastAsia="zh-CN"/>
        </w:rPr>
        <w:t xml:space="preserve">  二、缓解一次投入成本高问题。在现</w:t>
      </w:r>
      <w:r>
        <w:rPr>
          <w:rFonts w:hint="eastAsia" w:ascii="仿宋" w:hAnsi="仿宋" w:eastAsia="仿宋" w:cs="仿宋"/>
          <w:sz w:val="32"/>
          <w:szCs w:val="32"/>
          <w:lang w:val="en-US" w:eastAsia="zh-CN"/>
        </w:rPr>
        <w:t>在政策的基础上，针对小微企业出台更精准的扶持政策，针对企业的顾虑，明确支持方式，扶持资金及时到位，积极推动企业上云上链。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为缓解专业化人才的不足，对实力不够强的企业给予技术支撑，政府牵头搭建统一的工业互联网产业生态资源供给池，推动制造业企业的平台商和制造企业、互联网公司、工业互联网创新中心和技术研究机构开展合作，扩大技术供给，发掘自身潜力，降低对人才的竞争强度，且政府给予一定的政策支持或补助，如建立工业互联网产业联盟。</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四、人才培养是发展工业互联网的长远之策，引导对物联网相关基础学科的投资和培训，同时加强对高级技术工人的培养与选拔，多渠道、多门路来打造与产业发展相适应的专业化人才队伍。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制定数据标准是推动工业互联网、产业优化升级的重要引擎。主管部门出面与行业相关方制定符合中国发展实际的数据格式和接口，先分行业领域制定标准，待时机成熟再编制跨行业的数据格式、端口标准。其中，装备制造业龙头企业必须担保带着作用，承担更大的责任。另外，针对进口设备，可以在合同中要求国外厂商开放数据接口。</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六、对于安全问题，可积极推动地方立法，推动数据立法，加大网络安全技术投入，着力从数据安全层面和系统安全层面统筹确保工业互联网安全。通过技术和管理相结合，建立涵盖设备安全、控制安全、网络安全、平台安全和数据安全的工业互联网多层次安全保障体系。构建工业互联网设备、网络和平台的安全评估认证体系。</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七、建立示范基地、示范产业。选择细分行业、以及不同场景寻求突破，树立起标杆榜样，从而带动整个产业的联动发展。</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sz w:val="32"/>
          <w:szCs w:val="32"/>
          <w:lang w:val="en-US" w:eastAsia="zh-CN"/>
        </w:rPr>
      </w:pPr>
    </w:p>
    <w:sectPr>
      <w:headerReference r:id="rId3" w:type="default"/>
      <w:footerReference r:id="rId4" w:type="default"/>
      <w:pgSz w:w="11906" w:h="16838"/>
      <w:pgMar w:top="1985" w:right="1474"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altName w:val="Arial Unicode MS"/>
    <w:panose1 w:val="03000509000000000000"/>
    <w:charset w:val="86"/>
    <w:family w:val="script"/>
    <w:pitch w:val="default"/>
    <w:sig w:usb0="00000000" w:usb1="00000000" w:usb2="00000000" w:usb3="00000000" w:csb0="00040000" w:csb1="00000000"/>
  </w:font>
  <w:font w:name="FangSong_GB2312">
    <w:altName w:val="仿宋_GB2312"/>
    <w:panose1 w:val="02010609060101010101"/>
    <w:charset w:val="86"/>
    <w:family w:val="modern"/>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1</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371576"/>
    <w:multiLevelType w:val="multilevel"/>
    <w:tmpl w:val="2437157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2F87"/>
    <w:rsid w:val="000478BE"/>
    <w:rsid w:val="001221CC"/>
    <w:rsid w:val="00193711"/>
    <w:rsid w:val="0030127C"/>
    <w:rsid w:val="00382F87"/>
    <w:rsid w:val="00415B37"/>
    <w:rsid w:val="00636446"/>
    <w:rsid w:val="006E6BEA"/>
    <w:rsid w:val="008842DB"/>
    <w:rsid w:val="008D3484"/>
    <w:rsid w:val="008E05FA"/>
    <w:rsid w:val="009642D6"/>
    <w:rsid w:val="00996D96"/>
    <w:rsid w:val="009E11BB"/>
    <w:rsid w:val="00A47787"/>
    <w:rsid w:val="00A55288"/>
    <w:rsid w:val="00A97CDE"/>
    <w:rsid w:val="00B17035"/>
    <w:rsid w:val="00B36B45"/>
    <w:rsid w:val="00B71717"/>
    <w:rsid w:val="00BB1893"/>
    <w:rsid w:val="00BE252D"/>
    <w:rsid w:val="00C765D2"/>
    <w:rsid w:val="00D55DCC"/>
    <w:rsid w:val="00D85E1C"/>
    <w:rsid w:val="00DF2B25"/>
    <w:rsid w:val="00E314FA"/>
    <w:rsid w:val="00F32B47"/>
    <w:rsid w:val="06C1750E"/>
    <w:rsid w:val="13E62D54"/>
    <w:rsid w:val="24B637EC"/>
    <w:rsid w:val="2F261140"/>
    <w:rsid w:val="6C592A0B"/>
    <w:rsid w:val="6EAC5FC0"/>
    <w:rsid w:val="74C47F62"/>
    <w:rsid w:val="7C8D2320"/>
  </w:rsids>
  <m:mathPr>
    <m:mathFont m:val="Cambria Math"/>
    <m:brkBin m:val="before"/>
    <m:brkBinSub m:val="--"/>
    <m:smallFrac m:val="1"/>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Header Char"/>
    <w:basedOn w:val="5"/>
    <w:link w:val="3"/>
    <w:qFormat/>
    <w:uiPriority w:val="99"/>
    <w:rPr>
      <w:sz w:val="18"/>
      <w:szCs w:val="18"/>
    </w:rPr>
  </w:style>
  <w:style w:type="character" w:customStyle="1" w:styleId="8">
    <w:name w:val="Footer Char"/>
    <w:basedOn w:val="5"/>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Standard Chartered Bank</Company>
  <Pages>5</Pages>
  <Words>312</Words>
  <Characters>1785</Characters>
  <Lines>14</Lines>
  <Paragraphs>4</Paragraphs>
  <TotalTime>8</TotalTime>
  <ScaleCrop>false</ScaleCrop>
  <LinksUpToDate>false</LinksUpToDate>
  <CharactersWithSpaces>2093</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2018-02-08T09:19:00Z</dcterms:created>
  <dc:creator>lenove</dc:creator>
  <cp:lastModifiedBy>dffhfgh</cp:lastModifiedBy>
  <dcterms:modified xsi:type="dcterms:W3CDTF">2022-10-09T03:25:11Z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KSORubyTemplateID" linkTarget="0">
    <vt:lpwstr>6</vt:lpwstr>
  </property>
</Properties>
</file>