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color w:val="333333"/>
          <w:sz w:val="24"/>
          <w:szCs w:val="24"/>
        </w:rPr>
      </w:pPr>
    </w:p>
    <w:p>
      <w:pPr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附件二：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南村镇零星小额建筑、市政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</w:rPr>
        <w:t>承包商企业库名单</w:t>
      </w:r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4"/>
        <w:tblW w:w="0" w:type="auto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577F254B"/>
    <w:rsid w:val="7E35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0</TotalTime>
  <ScaleCrop>false</ScaleCrop>
  <LinksUpToDate>false</LinksUpToDate>
  <CharactersWithSpaces>224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2021-09-02T03:01:26Z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5F4742E9156C4B2D86329D6F539CE207</vt:lpwstr>
  </property>
</Properties>
</file>