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74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1071"/>
        <w:gridCol w:w="1059"/>
        <w:gridCol w:w="1105"/>
        <w:gridCol w:w="1082"/>
        <w:gridCol w:w="3684"/>
        <w:gridCol w:w="5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" w:hRule="atLeast"/>
        </w:trPr>
        <w:tc>
          <w:tcPr>
            <w:tcW w:w="5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68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50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" w:hRule="atLeast"/>
        </w:trPr>
        <w:tc>
          <w:tcPr>
            <w:tcW w:w="5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0"/>
                <w:szCs w:val="20"/>
              </w:rPr>
            </w:pP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68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0"/>
                <w:szCs w:val="20"/>
              </w:rPr>
            </w:pPr>
          </w:p>
        </w:tc>
        <w:tc>
          <w:tcPr>
            <w:tcW w:w="550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5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食用农产品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水产品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淡水产品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淡水虾</w:t>
            </w:r>
          </w:p>
        </w:tc>
        <w:tc>
          <w:tcPr>
            <w:tcW w:w="36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农业农村部公告第250号《食品动物中禁止使用的药品及其他化合物清单》，GB 31650-2019《食品安全国家标准 食品中兽药最大残留限量》，GB 2762-2017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《食品安全国家标准 食品中污染物限量》</w:t>
            </w:r>
          </w:p>
        </w:tc>
        <w:tc>
          <w:tcPr>
            <w:tcW w:w="550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呋喃唑酮代谢物,氯霉素,镉(以Cd计),呋喃西林代谢物,恩诺沙星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B734D86"/>
    <w:rsid w:val="0EC570B2"/>
    <w:rsid w:val="0FAA3555"/>
    <w:rsid w:val="10DC59E1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50658EB"/>
    <w:rsid w:val="3548404D"/>
    <w:rsid w:val="35721096"/>
    <w:rsid w:val="37C66CC4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7A069CF"/>
    <w:rsid w:val="4A7F1CD0"/>
    <w:rsid w:val="4AB27876"/>
    <w:rsid w:val="4B5251A1"/>
    <w:rsid w:val="4B7B4360"/>
    <w:rsid w:val="4C4B7774"/>
    <w:rsid w:val="4C7844EE"/>
    <w:rsid w:val="4CC67A73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6227F8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6E62EB"/>
    <w:rsid w:val="709275B6"/>
    <w:rsid w:val="713F4727"/>
    <w:rsid w:val="742F3A90"/>
    <w:rsid w:val="74625A6E"/>
    <w:rsid w:val="746630B1"/>
    <w:rsid w:val="746C1D4A"/>
    <w:rsid w:val="74880DF2"/>
    <w:rsid w:val="74EC4C6A"/>
    <w:rsid w:val="75CA48A1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0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2021-06-04T03:27:07Z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