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textAlignment w:val="center"/>
        <w:rPr>
          <w:rFonts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 xml:space="preserve">1 </w:t>
      </w:r>
    </w:p>
    <w:p>
      <w:pPr>
        <w:widowControl/>
        <w:jc w:val="center"/>
        <w:textAlignment w:val="center"/>
        <w:rPr>
          <w:rFonts w:hint="eastAsia" w:ascii="方正小标宋简体" w:hAnsi="方正小标宋简体" w:eastAsia="方正小标宋简体" w:cs="方正小标宋简体"/>
          <w:snapToGrid w:val="0"/>
          <w:sz w:val="44"/>
          <w:szCs w:val="24"/>
        </w:rPr>
      </w:pPr>
      <w:r>
        <w:rPr>
          <w:rFonts w:hint="eastAsia" w:ascii="方正小标宋简体" w:hAnsi="方正小标宋简体" w:eastAsia="方正小标宋简体" w:cs="方正小标宋简体"/>
          <w:snapToGrid w:val="0"/>
          <w:sz w:val="44"/>
          <w:szCs w:val="24"/>
        </w:rPr>
        <w:t>本次检验项目</w:t>
      </w:r>
    </w:p>
    <w:tbl>
      <w:tblPr>
        <w:tblStyle w:val="8"/>
        <w:tblW w:w="14042" w:type="dxa"/>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8"/>
        <w:gridCol w:w="1069"/>
        <w:gridCol w:w="1057"/>
        <w:gridCol w:w="1103"/>
        <w:gridCol w:w="1023"/>
        <w:gridCol w:w="4010"/>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94" w:hRule="atLeast"/>
        </w:trPr>
        <w:tc>
          <w:tcPr>
            <w:tcW w:w="568"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序号</w:t>
            </w: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食品大类</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食品亚类</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食品品种</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食品细类</w:t>
            </w:r>
          </w:p>
        </w:tc>
        <w:tc>
          <w:tcPr>
            <w:tcW w:w="4010"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抽检依据</w:t>
            </w:r>
          </w:p>
        </w:tc>
        <w:tc>
          <w:tcPr>
            <w:tcW w:w="5212" w:type="dxa"/>
            <w:vMerge w:val="restart"/>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检验项目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4" w:hRule="atLeast"/>
        </w:trPr>
        <w:tc>
          <w:tcPr>
            <w:tcW w:w="568"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（一级）</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（二级）</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（三级）</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rPr>
            </w:pPr>
            <w:r>
              <w:rPr>
                <w:rFonts w:hint="eastAsia" w:ascii="宋体" w:hAnsi="宋体" w:cs="宋体"/>
                <w:b/>
                <w:kern w:val="0"/>
                <w:sz w:val="18"/>
                <w:szCs w:val="18"/>
              </w:rPr>
              <w:t>（四级）</w:t>
            </w:r>
          </w:p>
        </w:tc>
        <w:tc>
          <w:tcPr>
            <w:tcW w:w="4010"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c>
          <w:tcPr>
            <w:tcW w:w="5212" w:type="dxa"/>
            <w:vMerge w:val="continue"/>
            <w:vAlign w:val="center"/>
          </w:tcPr>
          <w:p>
            <w:pPr>
              <w:widowControl/>
              <w:snapToGrid w:val="0"/>
              <w:spacing w:line="360" w:lineRule="exact"/>
              <w:jc w:val="center"/>
              <w:textAlignment w:val="center"/>
              <w:rPr>
                <w:rFonts w:hint="eastAsia" w:ascii="宋体" w:hAnsi="宋体" w:cs="宋体"/>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41" w:hRule="atLeast"/>
        </w:trPr>
        <w:tc>
          <w:tcPr>
            <w:tcW w:w="568" w:type="dxa"/>
            <w:vMerge w:val="restart"/>
            <w:vAlign w:val="center"/>
          </w:tcPr>
          <w:p>
            <w:pPr>
              <w:widowControl/>
              <w:snapToGrid w:val="0"/>
              <w:spacing w:line="360" w:lineRule="exact"/>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1</w:t>
            </w:r>
          </w:p>
        </w:tc>
        <w:tc>
          <w:tcPr>
            <w:tcW w:w="1069" w:type="dxa"/>
            <w:vMerge w:val="restart"/>
            <w:vAlign w:val="center"/>
          </w:tcPr>
          <w:p>
            <w:pPr>
              <w:snapToGrid w:val="0"/>
              <w:jc w:val="center"/>
              <w:rPr>
                <w:rFonts w:ascii="宋体" w:hAnsi="宋体" w:cs="宋体"/>
                <w:kern w:val="0"/>
                <w:sz w:val="20"/>
                <w:szCs w:val="20"/>
              </w:rPr>
            </w:pPr>
            <w:r>
              <w:rPr>
                <w:rFonts w:hint="eastAsia" w:ascii="宋体" w:hAnsi="宋体" w:cs="宋体"/>
                <w:kern w:val="0"/>
                <w:sz w:val="20"/>
                <w:szCs w:val="20"/>
              </w:rPr>
              <w:t>保健食品</w:t>
            </w:r>
          </w:p>
        </w:tc>
        <w:tc>
          <w:tcPr>
            <w:tcW w:w="1057" w:type="dxa"/>
            <w:vMerge w:val="restart"/>
            <w:vAlign w:val="center"/>
          </w:tcPr>
          <w:p>
            <w:pPr>
              <w:widowControl/>
              <w:snapToGrid w:val="0"/>
              <w:jc w:val="center"/>
              <w:textAlignment w:val="center"/>
              <w:rPr>
                <w:rFonts w:ascii="宋体" w:hAnsi="宋体" w:cs="宋体"/>
                <w:kern w:val="0"/>
                <w:sz w:val="20"/>
                <w:szCs w:val="20"/>
              </w:rPr>
            </w:pPr>
            <w:r>
              <w:rPr>
                <w:rFonts w:hint="eastAsia" w:ascii="宋体" w:hAnsi="宋体" w:cs="宋体"/>
                <w:kern w:val="0"/>
                <w:sz w:val="20"/>
                <w:szCs w:val="20"/>
              </w:rPr>
              <w:t>保健食品</w:t>
            </w:r>
          </w:p>
        </w:tc>
        <w:tc>
          <w:tcPr>
            <w:tcW w:w="1103" w:type="dxa"/>
            <w:vMerge w:val="restart"/>
            <w:vAlign w:val="center"/>
          </w:tcPr>
          <w:p>
            <w:pPr>
              <w:widowControl/>
              <w:jc w:val="center"/>
              <w:textAlignment w:val="center"/>
              <w:rPr>
                <w:rFonts w:ascii="宋体" w:hAnsi="宋体" w:cs="宋体"/>
                <w:kern w:val="0"/>
                <w:sz w:val="20"/>
                <w:szCs w:val="20"/>
              </w:rPr>
            </w:pPr>
            <w:r>
              <w:rPr>
                <w:rFonts w:hint="eastAsia" w:ascii="宋体" w:hAnsi="宋体" w:cs="宋体"/>
                <w:kern w:val="0"/>
                <w:sz w:val="20"/>
                <w:szCs w:val="20"/>
              </w:rPr>
              <w:t>保健食品</w:t>
            </w:r>
          </w:p>
        </w:tc>
        <w:tc>
          <w:tcPr>
            <w:tcW w:w="1023" w:type="dxa"/>
            <w:vAlign w:val="center"/>
          </w:tcPr>
          <w:p>
            <w:pPr>
              <w:widowControl/>
              <w:jc w:val="center"/>
              <w:textAlignment w:val="center"/>
              <w:rPr>
                <w:rFonts w:ascii="宋体" w:hAnsi="宋体" w:cs="宋体"/>
                <w:kern w:val="0"/>
                <w:sz w:val="20"/>
                <w:szCs w:val="20"/>
              </w:rPr>
            </w:pPr>
            <w:r>
              <w:rPr>
                <w:rFonts w:hint="eastAsia" w:ascii="宋体" w:hAnsi="宋体" w:cs="宋体"/>
                <w:color w:val="000000"/>
                <w:kern w:val="0"/>
                <w:sz w:val="20"/>
                <w:szCs w:val="20"/>
                <w:lang w:bidi="ar"/>
              </w:rPr>
              <w:t>辅助降血脂类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GB 16740-2014 《食品国家安全标准 保健食品》、Q/NNFLX 0119S-2020《富莱欣牌鱼油软胶囊（保健食品）》、辅助降血脂类保健食品违法添加药物的检测方法 食药监办许【2010】114号文附件1要求</w:t>
            </w:r>
          </w:p>
        </w:tc>
        <w:tc>
          <w:tcPr>
            <w:tcW w:w="5212"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大肠菌群、滴滴涕、灰分、金黄色葡萄球菌、菌落总数、六六六、霉菌和酵母、铅（以Pb计）、沙门氏菌、水分、总汞（以Hg计）、总砷（以As计）、洛伐他汀、辛伐他汀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31" w:hRule="atLeast"/>
        </w:trPr>
        <w:tc>
          <w:tcPr>
            <w:tcW w:w="568" w:type="dxa"/>
            <w:vMerge w:val="continue"/>
            <w:vAlign w:val="center"/>
          </w:tcPr>
          <w:p>
            <w:pPr>
              <w:widowControl/>
              <w:snapToGrid w:val="0"/>
              <w:jc w:val="center"/>
              <w:textAlignment w:val="center"/>
            </w:pPr>
          </w:p>
        </w:tc>
        <w:tc>
          <w:tcPr>
            <w:tcW w:w="1069" w:type="dxa"/>
            <w:vMerge w:val="continue"/>
            <w:vAlign w:val="center"/>
          </w:tcPr>
          <w:p>
            <w:pPr>
              <w:widowControl/>
              <w:snapToGrid w:val="0"/>
              <w:jc w:val="center"/>
              <w:textAlignment w:val="center"/>
              <w:rPr>
                <w:rFonts w:ascii="宋体" w:hAnsi="宋体" w:cs="宋体"/>
                <w:sz w:val="20"/>
                <w:szCs w:val="20"/>
              </w:rPr>
            </w:pPr>
          </w:p>
        </w:tc>
        <w:tc>
          <w:tcPr>
            <w:tcW w:w="1057" w:type="dxa"/>
            <w:vMerge w:val="continue"/>
            <w:vAlign w:val="center"/>
          </w:tcPr>
          <w:p>
            <w:pPr>
              <w:widowControl/>
              <w:snapToGrid w:val="0"/>
              <w:jc w:val="center"/>
              <w:textAlignment w:val="center"/>
              <w:rPr>
                <w:rFonts w:ascii="宋体" w:hAnsi="宋体" w:cs="宋体"/>
                <w:sz w:val="20"/>
                <w:szCs w:val="20"/>
              </w:rPr>
            </w:pPr>
          </w:p>
        </w:tc>
        <w:tc>
          <w:tcPr>
            <w:tcW w:w="1103" w:type="dxa"/>
            <w:vMerge w:val="continue"/>
            <w:vAlign w:val="center"/>
          </w:tcPr>
          <w:p>
            <w:pPr>
              <w:widowControl/>
              <w:jc w:val="center"/>
              <w:textAlignment w:val="center"/>
              <w:rPr>
                <w:rFonts w:ascii="宋体" w:hAnsi="宋体" w:cs="宋体"/>
                <w:kern w:val="0"/>
                <w:sz w:val="20"/>
                <w:szCs w:val="20"/>
              </w:rPr>
            </w:pPr>
          </w:p>
        </w:tc>
        <w:tc>
          <w:tcPr>
            <w:tcW w:w="1023" w:type="dxa"/>
            <w:vAlign w:val="center"/>
          </w:tcPr>
          <w:p>
            <w:pPr>
              <w:widowControl/>
              <w:jc w:val="center"/>
              <w:textAlignment w:val="center"/>
              <w:rPr>
                <w:rFonts w:ascii="宋体" w:hAnsi="宋体" w:cs="宋体"/>
                <w:kern w:val="0"/>
                <w:sz w:val="20"/>
                <w:szCs w:val="20"/>
              </w:rPr>
            </w:pPr>
            <w:r>
              <w:rPr>
                <w:rFonts w:hint="eastAsia" w:ascii="宋体" w:hAnsi="宋体" w:cs="宋体"/>
                <w:color w:val="000000"/>
                <w:kern w:val="0"/>
                <w:sz w:val="20"/>
                <w:szCs w:val="20"/>
                <w:lang w:bidi="ar"/>
              </w:rPr>
              <w:t>缓解体力疲劳、增强免疫力类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GB 16740-2014 《食品国家安全标准 保健食品》、Q/MLK 0105S-2020《澳天力牌蛋白粉》、国家食品药品监督管理局药品检验补充检验方法和检验项目批准件编号 2009030 补肾壮阳类中成药要求</w:t>
            </w:r>
          </w:p>
        </w:tc>
        <w:tc>
          <w:tcPr>
            <w:tcW w:w="5212"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大肠菌群、蛋白质、滴滴涕、灰分、酵母、金黄色葡萄球菌、酒精度、菌落总数、六六六、霉菌、霉菌和酵母、铅（以Pb计）、沙门氏菌、水分、总汞（以Hg计）、总砷（以As计）、西地那非、那莫西地那非、硫代艾地那非、红地那非、那红地那非、伐地那非、伪伐地那非、他达拉非、氨基他达拉非、豪莫西地那非、羟基豪莫西地那非、可溶性固形物、氰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7" w:hRule="atLeast"/>
        </w:trPr>
        <w:tc>
          <w:tcPr>
            <w:tcW w:w="568"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069" w:type="dxa"/>
            <w:vMerge w:val="continue"/>
            <w:vAlign w:val="center"/>
          </w:tcPr>
          <w:p>
            <w:pPr>
              <w:widowControl/>
              <w:snapToGrid w:val="0"/>
              <w:jc w:val="center"/>
              <w:textAlignment w:val="center"/>
              <w:rPr>
                <w:rFonts w:ascii="宋体" w:hAnsi="宋体" w:cs="宋体"/>
                <w:kern w:val="0"/>
                <w:sz w:val="20"/>
                <w:szCs w:val="20"/>
              </w:rPr>
            </w:pPr>
          </w:p>
        </w:tc>
        <w:tc>
          <w:tcPr>
            <w:tcW w:w="1057" w:type="dxa"/>
            <w:vMerge w:val="continue"/>
            <w:vAlign w:val="center"/>
          </w:tcPr>
          <w:p>
            <w:pPr>
              <w:widowControl/>
              <w:snapToGrid w:val="0"/>
              <w:jc w:val="center"/>
              <w:textAlignment w:val="center"/>
              <w:rPr>
                <w:rFonts w:ascii="宋体" w:hAnsi="宋体" w:cs="宋体"/>
                <w:kern w:val="0"/>
                <w:sz w:val="20"/>
                <w:szCs w:val="20"/>
              </w:rPr>
            </w:pPr>
          </w:p>
        </w:tc>
        <w:tc>
          <w:tcPr>
            <w:tcW w:w="1103" w:type="dxa"/>
            <w:vMerge w:val="continue"/>
            <w:vAlign w:val="center"/>
          </w:tcPr>
          <w:p>
            <w:pPr>
              <w:widowControl/>
              <w:jc w:val="center"/>
              <w:textAlignment w:val="center"/>
              <w:rPr>
                <w:rFonts w:ascii="宋体" w:hAnsi="宋体" w:cs="宋体"/>
                <w:kern w:val="0"/>
                <w:sz w:val="20"/>
                <w:szCs w:val="20"/>
              </w:rPr>
            </w:pPr>
          </w:p>
        </w:tc>
        <w:tc>
          <w:tcPr>
            <w:tcW w:w="1023" w:type="dxa"/>
            <w:vAlign w:val="center"/>
          </w:tcPr>
          <w:p>
            <w:pPr>
              <w:widowControl/>
              <w:jc w:val="center"/>
              <w:textAlignment w:val="center"/>
              <w:rPr>
                <w:rFonts w:ascii="宋体" w:hAnsi="宋体" w:cs="宋体"/>
                <w:kern w:val="0"/>
                <w:sz w:val="20"/>
                <w:szCs w:val="20"/>
              </w:rPr>
            </w:pPr>
            <w:r>
              <w:rPr>
                <w:rFonts w:hint="eastAsia" w:ascii="宋体" w:hAnsi="宋体" w:cs="宋体"/>
                <w:kern w:val="0"/>
                <w:sz w:val="20"/>
                <w:szCs w:val="20"/>
              </w:rPr>
              <w:t>减肥类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GB 16740-2014 《食品国家安全标准 保健食品》、Q/TYS 0035S-2018《太阳神牌猴头菇胃肠保健口服液》、国家食品药品监督管理局药品检验补充检验方法和检验项目批准件编号 2012005 减肥类中成药和保健食品、减肥类保健食品违法添加药物的检测方法 食药监办许【2010】114号文附件2、药品检验补充检验方法和检验项目批准件编</w:t>
            </w:r>
            <w:bookmarkStart w:id="0" w:name="_GoBack"/>
            <w:bookmarkEnd w:id="0"/>
            <w:r>
              <w:rPr>
                <w:rFonts w:hint="eastAsia" w:cs="宋体" w:asciiTheme="minorEastAsia" w:hAnsiTheme="minorEastAsia" w:eastAsiaTheme="minorEastAsia"/>
                <w:kern w:val="0"/>
                <w:szCs w:val="21"/>
                <w:lang w:val="en-US" w:eastAsia="zh-CN"/>
              </w:rPr>
              <w:t>号2006004要求</w:t>
            </w:r>
          </w:p>
        </w:tc>
        <w:tc>
          <w:tcPr>
            <w:tcW w:w="5212"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大肠菌群、金黄色葡萄球菌、菌落总数、霉菌和酵母、铅（以Pb计）、沙门氏菌、总砷（以As计）、可溶性固形物、西布曲明、N-单去甲基西布曲明、N,N-双去甲基西布曲明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7" w:hRule="atLeast"/>
        </w:trPr>
        <w:tc>
          <w:tcPr>
            <w:tcW w:w="568"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069" w:type="dxa"/>
            <w:vMerge w:val="continue"/>
            <w:vAlign w:val="center"/>
          </w:tcPr>
          <w:p>
            <w:pPr>
              <w:widowControl/>
              <w:snapToGrid w:val="0"/>
              <w:jc w:val="center"/>
              <w:textAlignment w:val="center"/>
              <w:rPr>
                <w:rFonts w:ascii="宋体" w:hAnsi="宋体" w:cs="宋体"/>
                <w:kern w:val="0"/>
                <w:sz w:val="20"/>
                <w:szCs w:val="20"/>
              </w:rPr>
            </w:pPr>
          </w:p>
        </w:tc>
        <w:tc>
          <w:tcPr>
            <w:tcW w:w="1057" w:type="dxa"/>
            <w:vMerge w:val="continue"/>
            <w:vAlign w:val="center"/>
          </w:tcPr>
          <w:p>
            <w:pPr>
              <w:widowControl/>
              <w:snapToGrid w:val="0"/>
              <w:jc w:val="center"/>
              <w:textAlignment w:val="center"/>
              <w:rPr>
                <w:rFonts w:ascii="宋体" w:hAnsi="宋体" w:cs="宋体"/>
                <w:kern w:val="0"/>
                <w:sz w:val="20"/>
                <w:szCs w:val="20"/>
              </w:rPr>
            </w:pPr>
          </w:p>
        </w:tc>
        <w:tc>
          <w:tcPr>
            <w:tcW w:w="1103" w:type="dxa"/>
            <w:vMerge w:val="continue"/>
            <w:vAlign w:val="center"/>
          </w:tcPr>
          <w:p>
            <w:pPr>
              <w:widowControl/>
              <w:jc w:val="center"/>
              <w:textAlignment w:val="center"/>
              <w:rPr>
                <w:rFonts w:ascii="宋体" w:hAnsi="宋体" w:cs="宋体"/>
                <w:kern w:val="0"/>
                <w:sz w:val="20"/>
                <w:szCs w:val="20"/>
              </w:rPr>
            </w:pPr>
          </w:p>
        </w:tc>
        <w:tc>
          <w:tcPr>
            <w:tcW w:w="1023" w:type="dxa"/>
            <w:vAlign w:val="center"/>
          </w:tcPr>
          <w:p>
            <w:pPr>
              <w:widowControl/>
              <w:jc w:val="center"/>
              <w:textAlignment w:val="center"/>
              <w:rPr>
                <w:rFonts w:hint="eastAsia" w:ascii="宋体" w:hAnsi="宋体" w:cs="宋体"/>
                <w:kern w:val="0"/>
                <w:sz w:val="20"/>
                <w:szCs w:val="20"/>
              </w:rPr>
            </w:pPr>
            <w:r>
              <w:rPr>
                <w:rFonts w:hint="eastAsia" w:ascii="宋体" w:hAnsi="宋体" w:cs="宋体"/>
                <w:kern w:val="0"/>
                <w:sz w:val="20"/>
                <w:szCs w:val="20"/>
              </w:rPr>
              <w:t>清咽类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GB 16740-2014 《食品国家安全标准 保健食品》</w:t>
            </w:r>
          </w:p>
        </w:tc>
        <w:tc>
          <w:tcPr>
            <w:tcW w:w="5212"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大肠菌群、金黄色葡萄球菌、菌落总数、霉菌和酵母、铅（以Pb计）、沙门氏菌、总汞（以Hg计）、总砷（以As计）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7" w:hRule="atLeast"/>
        </w:trPr>
        <w:tc>
          <w:tcPr>
            <w:tcW w:w="568" w:type="dxa"/>
            <w:vMerge w:val="continue"/>
            <w:vAlign w:val="center"/>
          </w:tcPr>
          <w:p>
            <w:pPr>
              <w:widowControl/>
              <w:snapToGrid w:val="0"/>
              <w:jc w:val="center"/>
              <w:textAlignment w:val="center"/>
              <w:rPr>
                <w:rFonts w:cs="宋体" w:asciiTheme="minorEastAsia" w:hAnsiTheme="minorEastAsia" w:eastAsiaTheme="minorEastAsia"/>
                <w:kern w:val="0"/>
                <w:szCs w:val="21"/>
              </w:rPr>
            </w:pPr>
          </w:p>
        </w:tc>
        <w:tc>
          <w:tcPr>
            <w:tcW w:w="1069" w:type="dxa"/>
            <w:vMerge w:val="continue"/>
            <w:vAlign w:val="center"/>
          </w:tcPr>
          <w:p>
            <w:pPr>
              <w:widowControl/>
              <w:snapToGrid w:val="0"/>
              <w:jc w:val="center"/>
              <w:textAlignment w:val="center"/>
              <w:rPr>
                <w:rFonts w:ascii="宋体" w:hAnsi="宋体" w:cs="宋体"/>
                <w:kern w:val="0"/>
                <w:sz w:val="20"/>
                <w:szCs w:val="20"/>
              </w:rPr>
            </w:pPr>
          </w:p>
        </w:tc>
        <w:tc>
          <w:tcPr>
            <w:tcW w:w="1057" w:type="dxa"/>
            <w:vMerge w:val="continue"/>
            <w:vAlign w:val="center"/>
          </w:tcPr>
          <w:p>
            <w:pPr>
              <w:widowControl/>
              <w:snapToGrid w:val="0"/>
              <w:jc w:val="center"/>
              <w:textAlignment w:val="center"/>
              <w:rPr>
                <w:rFonts w:ascii="宋体" w:hAnsi="宋体" w:cs="宋体"/>
                <w:kern w:val="0"/>
                <w:sz w:val="20"/>
                <w:szCs w:val="20"/>
              </w:rPr>
            </w:pPr>
          </w:p>
        </w:tc>
        <w:tc>
          <w:tcPr>
            <w:tcW w:w="1103" w:type="dxa"/>
            <w:vMerge w:val="continue"/>
            <w:vAlign w:val="center"/>
          </w:tcPr>
          <w:p>
            <w:pPr>
              <w:widowControl/>
              <w:jc w:val="center"/>
              <w:textAlignment w:val="center"/>
              <w:rPr>
                <w:rFonts w:ascii="宋体" w:hAnsi="宋体" w:cs="宋体"/>
                <w:kern w:val="0"/>
                <w:sz w:val="20"/>
                <w:szCs w:val="20"/>
              </w:rPr>
            </w:pPr>
          </w:p>
        </w:tc>
        <w:tc>
          <w:tcPr>
            <w:tcW w:w="1023"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营养补充剂类</w:t>
            </w:r>
          </w:p>
        </w:tc>
        <w:tc>
          <w:tcPr>
            <w:tcW w:w="4010"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GB 16740-2014 《食品国家安全标准 保健食品》、Q/JRYY 0001S-2019《钙咀嚼片（儿童型）》</w:t>
            </w:r>
          </w:p>
        </w:tc>
        <w:tc>
          <w:tcPr>
            <w:tcW w:w="5212" w:type="dxa"/>
            <w:vAlign w:val="center"/>
          </w:tcPr>
          <w:p>
            <w:pPr>
              <w:widowControl/>
              <w:snapToGrid w:val="0"/>
              <w:jc w:val="center"/>
              <w:textAlignment w:val="center"/>
              <w:rPr>
                <w:rFonts w:hint="eastAsia" w:cs="宋体" w:asciiTheme="minorEastAsia" w:hAnsiTheme="minorEastAsia" w:eastAsiaTheme="minorEastAsia"/>
                <w:kern w:val="0"/>
                <w:szCs w:val="21"/>
                <w:lang w:val="en-US" w:eastAsia="zh-CN"/>
              </w:rPr>
            </w:pPr>
            <w:r>
              <w:rPr>
                <w:rFonts w:hint="eastAsia" w:cs="宋体" w:asciiTheme="minorEastAsia" w:hAnsiTheme="minorEastAsia" w:eastAsiaTheme="minorEastAsia"/>
                <w:kern w:val="0"/>
                <w:szCs w:val="21"/>
                <w:lang w:val="en-US" w:eastAsia="zh-CN"/>
              </w:rPr>
              <w:t>苯甲酸及其钠盐（以苯甲酸计）、大肠菌群、滴滴涕、钙、灰分、金黄色葡萄球菌、菌落总数、六六六、霉菌和酵母、铅（以Pb计）、沙门氏菌、水分、甜蜜素（以环己基氨基磺酸计）、铁、锌、总汞（以Hg计）、总砷（以As计）</w:t>
            </w:r>
          </w:p>
        </w:tc>
      </w:tr>
    </w:tbl>
    <w:p>
      <w:pPr>
        <w:spacing w:line="600" w:lineRule="exact"/>
        <w:textAlignment w:val="baseline"/>
        <w:rPr>
          <w:kern w:val="0"/>
        </w:rPr>
      </w:pPr>
    </w:p>
    <w:sectPr>
      <w:footerReference r:id="rId3" w:type="default"/>
      <w:pgSz w:w="16838" w:h="11906" w:orient="landscape"/>
      <w:pgMar w:top="1418" w:right="1531"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ascii="宋体" w:hAnsi="宋体"/>
      </w:rPr>
      <w:t>—</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1</w:t>
    </w:r>
    <w:r>
      <w:rPr>
        <w:rFonts w:ascii="宋体" w:hAnsi="宋体"/>
      </w:rPr>
      <w:fldChar w:fldCharType="end"/>
    </w:r>
    <w:r>
      <w:rPr>
        <w:rFonts w:ascii="宋体" w:hAnsi="宋体"/>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3"/>
    <w:rsid w:val="00011C34"/>
    <w:rsid w:val="0001341F"/>
    <w:rsid w:val="00020038"/>
    <w:rsid w:val="00020472"/>
    <w:rsid w:val="00021546"/>
    <w:rsid w:val="00025650"/>
    <w:rsid w:val="000373E1"/>
    <w:rsid w:val="0004232C"/>
    <w:rsid w:val="00047B3E"/>
    <w:rsid w:val="0005530F"/>
    <w:rsid w:val="00057C9D"/>
    <w:rsid w:val="00061869"/>
    <w:rsid w:val="00061C1F"/>
    <w:rsid w:val="000644E2"/>
    <w:rsid w:val="0007338B"/>
    <w:rsid w:val="000800AE"/>
    <w:rsid w:val="00097E5A"/>
    <w:rsid w:val="000A077E"/>
    <w:rsid w:val="000A1CA7"/>
    <w:rsid w:val="000A1D22"/>
    <w:rsid w:val="000A389C"/>
    <w:rsid w:val="000A6B35"/>
    <w:rsid w:val="000B050A"/>
    <w:rsid w:val="000B6096"/>
    <w:rsid w:val="000B6C93"/>
    <w:rsid w:val="000C18BE"/>
    <w:rsid w:val="000D0C4C"/>
    <w:rsid w:val="000D287B"/>
    <w:rsid w:val="000E3B65"/>
    <w:rsid w:val="000E7F37"/>
    <w:rsid w:val="000F56C5"/>
    <w:rsid w:val="000F6A94"/>
    <w:rsid w:val="0010014F"/>
    <w:rsid w:val="00102897"/>
    <w:rsid w:val="00113712"/>
    <w:rsid w:val="00116914"/>
    <w:rsid w:val="00117D5C"/>
    <w:rsid w:val="00124CE1"/>
    <w:rsid w:val="00125FCD"/>
    <w:rsid w:val="0013342C"/>
    <w:rsid w:val="00136C77"/>
    <w:rsid w:val="0014116C"/>
    <w:rsid w:val="00141416"/>
    <w:rsid w:val="00152AB0"/>
    <w:rsid w:val="00156C2C"/>
    <w:rsid w:val="001570A9"/>
    <w:rsid w:val="001707C3"/>
    <w:rsid w:val="00170E37"/>
    <w:rsid w:val="0017276B"/>
    <w:rsid w:val="00175B49"/>
    <w:rsid w:val="00176DD9"/>
    <w:rsid w:val="00177A5D"/>
    <w:rsid w:val="00186AD8"/>
    <w:rsid w:val="001A0A16"/>
    <w:rsid w:val="001B57E1"/>
    <w:rsid w:val="001B7BFF"/>
    <w:rsid w:val="001C5998"/>
    <w:rsid w:val="001E19E0"/>
    <w:rsid w:val="001F4806"/>
    <w:rsid w:val="001F6737"/>
    <w:rsid w:val="00213A57"/>
    <w:rsid w:val="00220330"/>
    <w:rsid w:val="00220C3B"/>
    <w:rsid w:val="002329D2"/>
    <w:rsid w:val="0023674D"/>
    <w:rsid w:val="002447C5"/>
    <w:rsid w:val="00252F34"/>
    <w:rsid w:val="00266A75"/>
    <w:rsid w:val="00272183"/>
    <w:rsid w:val="00272FD6"/>
    <w:rsid w:val="00274FB9"/>
    <w:rsid w:val="00296F29"/>
    <w:rsid w:val="002A1746"/>
    <w:rsid w:val="002A4B60"/>
    <w:rsid w:val="002A651F"/>
    <w:rsid w:val="002A6787"/>
    <w:rsid w:val="002B651D"/>
    <w:rsid w:val="002C0406"/>
    <w:rsid w:val="002C6A5D"/>
    <w:rsid w:val="002D0BE8"/>
    <w:rsid w:val="002E2244"/>
    <w:rsid w:val="002E3A99"/>
    <w:rsid w:val="002E4463"/>
    <w:rsid w:val="002E4D72"/>
    <w:rsid w:val="002E6CE1"/>
    <w:rsid w:val="002F5188"/>
    <w:rsid w:val="002F5D8F"/>
    <w:rsid w:val="00311772"/>
    <w:rsid w:val="00322BF6"/>
    <w:rsid w:val="00326E71"/>
    <w:rsid w:val="00332DD7"/>
    <w:rsid w:val="00333515"/>
    <w:rsid w:val="00334816"/>
    <w:rsid w:val="00336EB1"/>
    <w:rsid w:val="003478B7"/>
    <w:rsid w:val="00352B4E"/>
    <w:rsid w:val="00357F27"/>
    <w:rsid w:val="00363A10"/>
    <w:rsid w:val="00367DCA"/>
    <w:rsid w:val="00386102"/>
    <w:rsid w:val="0038633A"/>
    <w:rsid w:val="00392B20"/>
    <w:rsid w:val="003943E0"/>
    <w:rsid w:val="00394B98"/>
    <w:rsid w:val="00397E20"/>
    <w:rsid w:val="003A1E99"/>
    <w:rsid w:val="003A3AFE"/>
    <w:rsid w:val="003A4410"/>
    <w:rsid w:val="003A4B94"/>
    <w:rsid w:val="003A7B7A"/>
    <w:rsid w:val="003B51E2"/>
    <w:rsid w:val="003D0B14"/>
    <w:rsid w:val="003E1A51"/>
    <w:rsid w:val="003F4F8B"/>
    <w:rsid w:val="003F6312"/>
    <w:rsid w:val="003F6FCD"/>
    <w:rsid w:val="00400C50"/>
    <w:rsid w:val="00404BF6"/>
    <w:rsid w:val="004057E0"/>
    <w:rsid w:val="00417336"/>
    <w:rsid w:val="00417B40"/>
    <w:rsid w:val="0043606F"/>
    <w:rsid w:val="004471F2"/>
    <w:rsid w:val="00454F06"/>
    <w:rsid w:val="00457D30"/>
    <w:rsid w:val="00461898"/>
    <w:rsid w:val="0047273E"/>
    <w:rsid w:val="00480ABC"/>
    <w:rsid w:val="00483E26"/>
    <w:rsid w:val="00486CE5"/>
    <w:rsid w:val="004872F8"/>
    <w:rsid w:val="004A2F45"/>
    <w:rsid w:val="004C1742"/>
    <w:rsid w:val="004C5EEF"/>
    <w:rsid w:val="004C7D06"/>
    <w:rsid w:val="004D273B"/>
    <w:rsid w:val="004D5FF8"/>
    <w:rsid w:val="004D6D8C"/>
    <w:rsid w:val="004E66C1"/>
    <w:rsid w:val="004F27E6"/>
    <w:rsid w:val="004F3122"/>
    <w:rsid w:val="00506EEA"/>
    <w:rsid w:val="0051510B"/>
    <w:rsid w:val="0051721E"/>
    <w:rsid w:val="0054294C"/>
    <w:rsid w:val="00550664"/>
    <w:rsid w:val="005643F4"/>
    <w:rsid w:val="005771A5"/>
    <w:rsid w:val="0058016C"/>
    <w:rsid w:val="005817B3"/>
    <w:rsid w:val="00582D12"/>
    <w:rsid w:val="00584C1F"/>
    <w:rsid w:val="005917E6"/>
    <w:rsid w:val="00591E33"/>
    <w:rsid w:val="005932E9"/>
    <w:rsid w:val="00596CE3"/>
    <w:rsid w:val="005A79C7"/>
    <w:rsid w:val="005B0C1C"/>
    <w:rsid w:val="005B469F"/>
    <w:rsid w:val="005B7A7F"/>
    <w:rsid w:val="005D0384"/>
    <w:rsid w:val="005D4210"/>
    <w:rsid w:val="005D4EAC"/>
    <w:rsid w:val="005D7D45"/>
    <w:rsid w:val="005E2E5E"/>
    <w:rsid w:val="005F0EE0"/>
    <w:rsid w:val="005F2783"/>
    <w:rsid w:val="005F6AB2"/>
    <w:rsid w:val="00600B4A"/>
    <w:rsid w:val="00616FE0"/>
    <w:rsid w:val="00620E7D"/>
    <w:rsid w:val="00621DA4"/>
    <w:rsid w:val="00625753"/>
    <w:rsid w:val="00646844"/>
    <w:rsid w:val="00656135"/>
    <w:rsid w:val="00656EA2"/>
    <w:rsid w:val="006615D7"/>
    <w:rsid w:val="00676816"/>
    <w:rsid w:val="00687316"/>
    <w:rsid w:val="0069030F"/>
    <w:rsid w:val="0069349E"/>
    <w:rsid w:val="006A4A55"/>
    <w:rsid w:val="006A584B"/>
    <w:rsid w:val="006A6413"/>
    <w:rsid w:val="006A6837"/>
    <w:rsid w:val="006B139A"/>
    <w:rsid w:val="006B5A67"/>
    <w:rsid w:val="006C447F"/>
    <w:rsid w:val="006D023A"/>
    <w:rsid w:val="006E3497"/>
    <w:rsid w:val="006F32DE"/>
    <w:rsid w:val="007063B8"/>
    <w:rsid w:val="00712E0D"/>
    <w:rsid w:val="00716DFB"/>
    <w:rsid w:val="00721330"/>
    <w:rsid w:val="00726117"/>
    <w:rsid w:val="00745A18"/>
    <w:rsid w:val="00751776"/>
    <w:rsid w:val="00753D68"/>
    <w:rsid w:val="00757C06"/>
    <w:rsid w:val="0076408A"/>
    <w:rsid w:val="00765075"/>
    <w:rsid w:val="0076553E"/>
    <w:rsid w:val="0076586D"/>
    <w:rsid w:val="007679F1"/>
    <w:rsid w:val="00770EEA"/>
    <w:rsid w:val="00772B6F"/>
    <w:rsid w:val="00772F9F"/>
    <w:rsid w:val="007732F1"/>
    <w:rsid w:val="00774C32"/>
    <w:rsid w:val="0077575E"/>
    <w:rsid w:val="00776FB3"/>
    <w:rsid w:val="0077710D"/>
    <w:rsid w:val="00783A82"/>
    <w:rsid w:val="007943FD"/>
    <w:rsid w:val="00796CB7"/>
    <w:rsid w:val="007A3D77"/>
    <w:rsid w:val="007A5D91"/>
    <w:rsid w:val="007B4FC8"/>
    <w:rsid w:val="007E7E63"/>
    <w:rsid w:val="007F0457"/>
    <w:rsid w:val="007F0DB1"/>
    <w:rsid w:val="007F16D0"/>
    <w:rsid w:val="007F1B18"/>
    <w:rsid w:val="0080067C"/>
    <w:rsid w:val="00804CA1"/>
    <w:rsid w:val="00805CD2"/>
    <w:rsid w:val="00806884"/>
    <w:rsid w:val="008071C6"/>
    <w:rsid w:val="008073CC"/>
    <w:rsid w:val="00807CA9"/>
    <w:rsid w:val="00817C9E"/>
    <w:rsid w:val="00820885"/>
    <w:rsid w:val="0082346C"/>
    <w:rsid w:val="00830D7B"/>
    <w:rsid w:val="00831A6E"/>
    <w:rsid w:val="00831EDD"/>
    <w:rsid w:val="00840532"/>
    <w:rsid w:val="00851E08"/>
    <w:rsid w:val="00854D09"/>
    <w:rsid w:val="008550AE"/>
    <w:rsid w:val="008572D6"/>
    <w:rsid w:val="0086226C"/>
    <w:rsid w:val="00863B7A"/>
    <w:rsid w:val="00867BBA"/>
    <w:rsid w:val="008724DD"/>
    <w:rsid w:val="008743A6"/>
    <w:rsid w:val="0087734D"/>
    <w:rsid w:val="0087748F"/>
    <w:rsid w:val="00880F04"/>
    <w:rsid w:val="008861D0"/>
    <w:rsid w:val="00886BA6"/>
    <w:rsid w:val="00895177"/>
    <w:rsid w:val="00896909"/>
    <w:rsid w:val="008B108E"/>
    <w:rsid w:val="008C7974"/>
    <w:rsid w:val="008D7ECA"/>
    <w:rsid w:val="008F14CF"/>
    <w:rsid w:val="0090165F"/>
    <w:rsid w:val="00910447"/>
    <w:rsid w:val="00911E10"/>
    <w:rsid w:val="009125A7"/>
    <w:rsid w:val="00922239"/>
    <w:rsid w:val="0092760E"/>
    <w:rsid w:val="00933A31"/>
    <w:rsid w:val="0094303D"/>
    <w:rsid w:val="009441AC"/>
    <w:rsid w:val="009544A3"/>
    <w:rsid w:val="009603A4"/>
    <w:rsid w:val="0096604C"/>
    <w:rsid w:val="009669E4"/>
    <w:rsid w:val="00966ED2"/>
    <w:rsid w:val="009702EA"/>
    <w:rsid w:val="009714E0"/>
    <w:rsid w:val="009723FD"/>
    <w:rsid w:val="009739BD"/>
    <w:rsid w:val="0098153C"/>
    <w:rsid w:val="009A70DB"/>
    <w:rsid w:val="009B0D33"/>
    <w:rsid w:val="009B17D9"/>
    <w:rsid w:val="009B2B3B"/>
    <w:rsid w:val="009B651C"/>
    <w:rsid w:val="009B7074"/>
    <w:rsid w:val="009C06A8"/>
    <w:rsid w:val="009C1A34"/>
    <w:rsid w:val="009C7855"/>
    <w:rsid w:val="009C78F5"/>
    <w:rsid w:val="009C7D84"/>
    <w:rsid w:val="009D0BD1"/>
    <w:rsid w:val="009D113B"/>
    <w:rsid w:val="009D7D48"/>
    <w:rsid w:val="009E0C03"/>
    <w:rsid w:val="009F4A04"/>
    <w:rsid w:val="00A01F57"/>
    <w:rsid w:val="00A07CB7"/>
    <w:rsid w:val="00A10798"/>
    <w:rsid w:val="00A1575B"/>
    <w:rsid w:val="00A257DB"/>
    <w:rsid w:val="00A27103"/>
    <w:rsid w:val="00A5348E"/>
    <w:rsid w:val="00A575AB"/>
    <w:rsid w:val="00A603E7"/>
    <w:rsid w:val="00A618B4"/>
    <w:rsid w:val="00A64B93"/>
    <w:rsid w:val="00A66600"/>
    <w:rsid w:val="00A701D5"/>
    <w:rsid w:val="00A73BCA"/>
    <w:rsid w:val="00A80158"/>
    <w:rsid w:val="00A874DD"/>
    <w:rsid w:val="00A91716"/>
    <w:rsid w:val="00A94006"/>
    <w:rsid w:val="00AA1CB8"/>
    <w:rsid w:val="00AA658C"/>
    <w:rsid w:val="00AB7501"/>
    <w:rsid w:val="00AC1A0C"/>
    <w:rsid w:val="00AC5CB1"/>
    <w:rsid w:val="00AE1D1B"/>
    <w:rsid w:val="00AE2ECF"/>
    <w:rsid w:val="00AF2414"/>
    <w:rsid w:val="00AF2DEC"/>
    <w:rsid w:val="00B01034"/>
    <w:rsid w:val="00B062A6"/>
    <w:rsid w:val="00B133A3"/>
    <w:rsid w:val="00B14237"/>
    <w:rsid w:val="00B2396E"/>
    <w:rsid w:val="00B250AE"/>
    <w:rsid w:val="00B25BDC"/>
    <w:rsid w:val="00B2683B"/>
    <w:rsid w:val="00B2770C"/>
    <w:rsid w:val="00B27BB2"/>
    <w:rsid w:val="00B30AAD"/>
    <w:rsid w:val="00B33510"/>
    <w:rsid w:val="00B44A31"/>
    <w:rsid w:val="00B52693"/>
    <w:rsid w:val="00B5586D"/>
    <w:rsid w:val="00B6038D"/>
    <w:rsid w:val="00B6513D"/>
    <w:rsid w:val="00B75502"/>
    <w:rsid w:val="00B77214"/>
    <w:rsid w:val="00B804D6"/>
    <w:rsid w:val="00B832A9"/>
    <w:rsid w:val="00B8473C"/>
    <w:rsid w:val="00B87AB0"/>
    <w:rsid w:val="00B92D7D"/>
    <w:rsid w:val="00B976AD"/>
    <w:rsid w:val="00BA55D1"/>
    <w:rsid w:val="00BD0C90"/>
    <w:rsid w:val="00BD1B72"/>
    <w:rsid w:val="00BD241D"/>
    <w:rsid w:val="00BE07D2"/>
    <w:rsid w:val="00BE6929"/>
    <w:rsid w:val="00BF148C"/>
    <w:rsid w:val="00BF189F"/>
    <w:rsid w:val="00BF28D0"/>
    <w:rsid w:val="00BF6423"/>
    <w:rsid w:val="00C036AE"/>
    <w:rsid w:val="00C07488"/>
    <w:rsid w:val="00C07B05"/>
    <w:rsid w:val="00C16DC9"/>
    <w:rsid w:val="00C32049"/>
    <w:rsid w:val="00C33DC3"/>
    <w:rsid w:val="00C35DBC"/>
    <w:rsid w:val="00C43554"/>
    <w:rsid w:val="00C4522E"/>
    <w:rsid w:val="00C50411"/>
    <w:rsid w:val="00C56373"/>
    <w:rsid w:val="00C648C3"/>
    <w:rsid w:val="00C73F91"/>
    <w:rsid w:val="00C85517"/>
    <w:rsid w:val="00C864CA"/>
    <w:rsid w:val="00C87069"/>
    <w:rsid w:val="00C9156D"/>
    <w:rsid w:val="00C945C2"/>
    <w:rsid w:val="00C9749F"/>
    <w:rsid w:val="00CA264C"/>
    <w:rsid w:val="00CA2CA3"/>
    <w:rsid w:val="00CB05C7"/>
    <w:rsid w:val="00CB45D1"/>
    <w:rsid w:val="00CB47DF"/>
    <w:rsid w:val="00CB7471"/>
    <w:rsid w:val="00CC6249"/>
    <w:rsid w:val="00CD67E5"/>
    <w:rsid w:val="00CE13D2"/>
    <w:rsid w:val="00CE73CD"/>
    <w:rsid w:val="00CF0D96"/>
    <w:rsid w:val="00CF7C26"/>
    <w:rsid w:val="00D02604"/>
    <w:rsid w:val="00D02BC6"/>
    <w:rsid w:val="00D364F9"/>
    <w:rsid w:val="00D417A6"/>
    <w:rsid w:val="00D41D67"/>
    <w:rsid w:val="00D475B0"/>
    <w:rsid w:val="00D47DC9"/>
    <w:rsid w:val="00D52AF3"/>
    <w:rsid w:val="00D551AA"/>
    <w:rsid w:val="00D612BD"/>
    <w:rsid w:val="00D72CC9"/>
    <w:rsid w:val="00D82BFE"/>
    <w:rsid w:val="00D850F6"/>
    <w:rsid w:val="00D864E8"/>
    <w:rsid w:val="00D86D9B"/>
    <w:rsid w:val="00D9333A"/>
    <w:rsid w:val="00DB10E3"/>
    <w:rsid w:val="00DB35A6"/>
    <w:rsid w:val="00DC4214"/>
    <w:rsid w:val="00DD132F"/>
    <w:rsid w:val="00DD1BEE"/>
    <w:rsid w:val="00DD32CF"/>
    <w:rsid w:val="00DD3C2E"/>
    <w:rsid w:val="00DD7C36"/>
    <w:rsid w:val="00DF2A23"/>
    <w:rsid w:val="00DF497A"/>
    <w:rsid w:val="00DF5284"/>
    <w:rsid w:val="00DF5F7D"/>
    <w:rsid w:val="00E06234"/>
    <w:rsid w:val="00E1467F"/>
    <w:rsid w:val="00E2078A"/>
    <w:rsid w:val="00E228FD"/>
    <w:rsid w:val="00E229C9"/>
    <w:rsid w:val="00E31D88"/>
    <w:rsid w:val="00E43975"/>
    <w:rsid w:val="00E45F03"/>
    <w:rsid w:val="00E5072A"/>
    <w:rsid w:val="00E573BF"/>
    <w:rsid w:val="00E610CF"/>
    <w:rsid w:val="00E623E6"/>
    <w:rsid w:val="00E62589"/>
    <w:rsid w:val="00E6313E"/>
    <w:rsid w:val="00E74907"/>
    <w:rsid w:val="00E764E7"/>
    <w:rsid w:val="00E82D78"/>
    <w:rsid w:val="00E92087"/>
    <w:rsid w:val="00E92160"/>
    <w:rsid w:val="00EA0B37"/>
    <w:rsid w:val="00EA34CF"/>
    <w:rsid w:val="00EA6E78"/>
    <w:rsid w:val="00EB0C6F"/>
    <w:rsid w:val="00EB4141"/>
    <w:rsid w:val="00EB6B21"/>
    <w:rsid w:val="00EC00A4"/>
    <w:rsid w:val="00EC2046"/>
    <w:rsid w:val="00EC22DC"/>
    <w:rsid w:val="00EC3160"/>
    <w:rsid w:val="00EE12C0"/>
    <w:rsid w:val="00EE35DF"/>
    <w:rsid w:val="00EF608B"/>
    <w:rsid w:val="00F123FB"/>
    <w:rsid w:val="00F20699"/>
    <w:rsid w:val="00F22034"/>
    <w:rsid w:val="00F232B8"/>
    <w:rsid w:val="00F2692C"/>
    <w:rsid w:val="00F33E42"/>
    <w:rsid w:val="00F342FB"/>
    <w:rsid w:val="00F47703"/>
    <w:rsid w:val="00F47F39"/>
    <w:rsid w:val="00F51297"/>
    <w:rsid w:val="00F5348C"/>
    <w:rsid w:val="00F54FA3"/>
    <w:rsid w:val="00F56DA2"/>
    <w:rsid w:val="00F641EB"/>
    <w:rsid w:val="00F77D89"/>
    <w:rsid w:val="00F9271E"/>
    <w:rsid w:val="00FB272A"/>
    <w:rsid w:val="00FB74C0"/>
    <w:rsid w:val="00FC0B07"/>
    <w:rsid w:val="00FD13F8"/>
    <w:rsid w:val="00FD24DB"/>
    <w:rsid w:val="00FD5F0F"/>
    <w:rsid w:val="00FE030E"/>
    <w:rsid w:val="00FE1ED3"/>
    <w:rsid w:val="00FE2235"/>
    <w:rsid w:val="00FE3F84"/>
    <w:rsid w:val="00FF23A3"/>
    <w:rsid w:val="00FF4C9A"/>
    <w:rsid w:val="01347C69"/>
    <w:rsid w:val="04AB2539"/>
    <w:rsid w:val="05F4503B"/>
    <w:rsid w:val="07107AFC"/>
    <w:rsid w:val="08A32F54"/>
    <w:rsid w:val="09577014"/>
    <w:rsid w:val="09AE1034"/>
    <w:rsid w:val="0A0D31A5"/>
    <w:rsid w:val="0A154126"/>
    <w:rsid w:val="0ADC4F5B"/>
    <w:rsid w:val="0EC570B2"/>
    <w:rsid w:val="0FAA3555"/>
    <w:rsid w:val="103512B2"/>
    <w:rsid w:val="1114193C"/>
    <w:rsid w:val="13542691"/>
    <w:rsid w:val="14030150"/>
    <w:rsid w:val="16896315"/>
    <w:rsid w:val="179D5689"/>
    <w:rsid w:val="183015E8"/>
    <w:rsid w:val="18357803"/>
    <w:rsid w:val="19696CF7"/>
    <w:rsid w:val="1C8B1BF3"/>
    <w:rsid w:val="1D051C5B"/>
    <w:rsid w:val="1D3C6EE9"/>
    <w:rsid w:val="1DF5369D"/>
    <w:rsid w:val="1E962843"/>
    <w:rsid w:val="20950401"/>
    <w:rsid w:val="21AE004B"/>
    <w:rsid w:val="21BB2CD8"/>
    <w:rsid w:val="24394317"/>
    <w:rsid w:val="24AB7392"/>
    <w:rsid w:val="25264285"/>
    <w:rsid w:val="253A3EAD"/>
    <w:rsid w:val="28A6372A"/>
    <w:rsid w:val="28DF0C59"/>
    <w:rsid w:val="2907187F"/>
    <w:rsid w:val="29B97189"/>
    <w:rsid w:val="2A056C2B"/>
    <w:rsid w:val="2B3E0164"/>
    <w:rsid w:val="2B6E7E2B"/>
    <w:rsid w:val="2BE2486C"/>
    <w:rsid w:val="2D082F41"/>
    <w:rsid w:val="2DC032F5"/>
    <w:rsid w:val="3015654A"/>
    <w:rsid w:val="30311EBB"/>
    <w:rsid w:val="30537ED1"/>
    <w:rsid w:val="31011C61"/>
    <w:rsid w:val="33804D20"/>
    <w:rsid w:val="33C823CA"/>
    <w:rsid w:val="34047844"/>
    <w:rsid w:val="350658EB"/>
    <w:rsid w:val="3548404D"/>
    <w:rsid w:val="35721096"/>
    <w:rsid w:val="35D96A62"/>
    <w:rsid w:val="384F258A"/>
    <w:rsid w:val="38A24517"/>
    <w:rsid w:val="3A246B9B"/>
    <w:rsid w:val="3C0743CB"/>
    <w:rsid w:val="3FCD066B"/>
    <w:rsid w:val="3FEF03D6"/>
    <w:rsid w:val="40561BFB"/>
    <w:rsid w:val="410D68DF"/>
    <w:rsid w:val="41FD3E29"/>
    <w:rsid w:val="43B576DD"/>
    <w:rsid w:val="4510012C"/>
    <w:rsid w:val="4567409E"/>
    <w:rsid w:val="45CD6E14"/>
    <w:rsid w:val="4A7F1CD0"/>
    <w:rsid w:val="4B5251A1"/>
    <w:rsid w:val="4B7B4360"/>
    <w:rsid w:val="4C4B7774"/>
    <w:rsid w:val="4D5D50A1"/>
    <w:rsid w:val="4F587634"/>
    <w:rsid w:val="4FA37E96"/>
    <w:rsid w:val="4FC27A55"/>
    <w:rsid w:val="51181F7A"/>
    <w:rsid w:val="51CD4A53"/>
    <w:rsid w:val="549145C8"/>
    <w:rsid w:val="5622492D"/>
    <w:rsid w:val="5A521C48"/>
    <w:rsid w:val="5EB60EC0"/>
    <w:rsid w:val="5F27428A"/>
    <w:rsid w:val="60873B69"/>
    <w:rsid w:val="6095650F"/>
    <w:rsid w:val="62EB1C5A"/>
    <w:rsid w:val="64235186"/>
    <w:rsid w:val="66564A62"/>
    <w:rsid w:val="669E1249"/>
    <w:rsid w:val="66CF21D7"/>
    <w:rsid w:val="675337A2"/>
    <w:rsid w:val="683E5B31"/>
    <w:rsid w:val="68717262"/>
    <w:rsid w:val="6A221D5B"/>
    <w:rsid w:val="6B320D4C"/>
    <w:rsid w:val="6D54524C"/>
    <w:rsid w:val="6ED57E90"/>
    <w:rsid w:val="6FBB137D"/>
    <w:rsid w:val="709275B6"/>
    <w:rsid w:val="713F4727"/>
    <w:rsid w:val="71C42FF5"/>
    <w:rsid w:val="742F3A90"/>
    <w:rsid w:val="74625A6E"/>
    <w:rsid w:val="746630B1"/>
    <w:rsid w:val="746C1D4A"/>
    <w:rsid w:val="74880DF2"/>
    <w:rsid w:val="767C572B"/>
    <w:rsid w:val="77982204"/>
    <w:rsid w:val="77D70206"/>
    <w:rsid w:val="78164610"/>
    <w:rsid w:val="78357A9B"/>
    <w:rsid w:val="788A2401"/>
    <w:rsid w:val="794321A1"/>
    <w:rsid w:val="7BAB785A"/>
    <w:rsid w:val="7C5B37D4"/>
    <w:rsid w:val="7CED610A"/>
    <w:rsid w:val="7D1E4642"/>
    <w:rsid w:val="7D834B30"/>
    <w:rsid w:val="7D9B4CB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jc w:val="left"/>
    </w:pPr>
  </w:style>
  <w:style w:type="paragraph" w:styleId="3">
    <w:name w:val="Balloon Text"/>
    <w:basedOn w:val="1"/>
    <w:link w:val="11"/>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批注文字 Char"/>
    <w:basedOn w:val="7"/>
    <w:link w:val="2"/>
    <w:semiHidden/>
    <w:qFormat/>
    <w:uiPriority w:val="99"/>
    <w:rPr>
      <w:rFonts w:ascii="Calibri" w:hAnsi="Calibri"/>
    </w:rPr>
  </w:style>
  <w:style w:type="character" w:customStyle="1" w:styleId="11">
    <w:name w:val="批注框文本 Char"/>
    <w:basedOn w:val="7"/>
    <w:link w:val="3"/>
    <w:semiHidden/>
    <w:qFormat/>
    <w:locked/>
    <w:uiPriority w:val="99"/>
    <w:rPr>
      <w:rFonts w:ascii="Calibri" w:hAnsi="Calibri" w:eastAsia="宋体" w:cs="Times New Roman"/>
      <w:kern w:val="2"/>
      <w:sz w:val="18"/>
      <w:szCs w:val="18"/>
    </w:rPr>
  </w:style>
  <w:style w:type="character" w:customStyle="1" w:styleId="12">
    <w:name w:val="页脚 Char"/>
    <w:basedOn w:val="7"/>
    <w:link w:val="4"/>
    <w:qFormat/>
    <w:locked/>
    <w:uiPriority w:val="99"/>
    <w:rPr>
      <w:rFonts w:cs="Times New Roman"/>
      <w:sz w:val="18"/>
      <w:szCs w:val="18"/>
    </w:rPr>
  </w:style>
  <w:style w:type="character" w:customStyle="1" w:styleId="13">
    <w:name w:val="页眉 Char"/>
    <w:basedOn w:val="7"/>
    <w:link w:val="5"/>
    <w:qFormat/>
    <w:locked/>
    <w:uiPriority w:val="99"/>
    <w:rPr>
      <w:rFonts w:cs="Times New Roman"/>
      <w:sz w:val="18"/>
      <w:szCs w:val="18"/>
    </w:rPr>
  </w:style>
  <w:style w:type="character" w:customStyle="1" w:styleId="14">
    <w:name w:val="font21"/>
    <w:basedOn w:val="7"/>
    <w:qFormat/>
    <w:uiPriority w:val="99"/>
    <w:rPr>
      <w:rFonts w:ascii="宋体" w:hAnsi="宋体" w:eastAsia="宋体" w:cs="宋体"/>
      <w:color w:val="000000"/>
      <w:sz w:val="18"/>
      <w:szCs w:val="18"/>
      <w:u w:val="none"/>
    </w:rPr>
  </w:style>
  <w:style w:type="character" w:customStyle="1" w:styleId="15">
    <w:name w:val="font11"/>
    <w:basedOn w:val="7"/>
    <w:qFormat/>
    <w:uiPriority w:val="99"/>
    <w:rPr>
      <w:rFonts w:ascii="宋体" w:hAnsi="宋体" w:eastAsia="宋体" w:cs="宋体"/>
      <w:color w:val="000000"/>
      <w:sz w:val="18"/>
      <w:szCs w:val="18"/>
      <w:u w:val="none"/>
      <w:vertAlign w:val="subscript"/>
    </w:rPr>
  </w:style>
  <w:style w:type="character" w:customStyle="1" w:styleId="16">
    <w:name w:val="font31"/>
    <w:basedOn w:val="7"/>
    <w:qFormat/>
    <w:uiPriority w:val="99"/>
    <w:rPr>
      <w:rFonts w:ascii="宋体" w:hAnsi="宋体" w:eastAsia="宋体" w:cs="宋体"/>
      <w:b/>
      <w:color w:val="000000"/>
      <w:sz w:val="18"/>
      <w:szCs w:val="18"/>
      <w:u w:val="none"/>
    </w:rPr>
  </w:style>
  <w:style w:type="character" w:customStyle="1" w:styleId="17">
    <w:name w:val="font41"/>
    <w:basedOn w:val="7"/>
    <w:qFormat/>
    <w:uiPriority w:val="99"/>
    <w:rPr>
      <w:rFonts w:ascii="宋体" w:hAnsi="宋体" w:eastAsia="宋体" w:cs="宋体"/>
      <w:color w:val="000000"/>
      <w:sz w:val="18"/>
      <w:szCs w:val="18"/>
      <w:u w:val="none"/>
      <w:vertAlign w:val="superscript"/>
    </w:rPr>
  </w:style>
  <w:style w:type="character" w:customStyle="1" w:styleId="18">
    <w:name w:val="font91"/>
    <w:basedOn w:val="7"/>
    <w:qFormat/>
    <w:uiPriority w:val="99"/>
    <w:rPr>
      <w:rFonts w:ascii="宋体" w:hAnsi="宋体" w:eastAsia="宋体" w:cs="宋体"/>
      <w:color w:val="000000"/>
      <w:sz w:val="20"/>
      <w:szCs w:val="20"/>
      <w:u w:val="none"/>
      <w:vertAlign w:val="subscript"/>
    </w:rPr>
  </w:style>
  <w:style w:type="character" w:customStyle="1" w:styleId="19">
    <w:name w:val="font131"/>
    <w:basedOn w:val="7"/>
    <w:qFormat/>
    <w:uiPriority w:val="99"/>
    <w:rPr>
      <w:rFonts w:ascii="宋体" w:hAnsi="宋体" w:eastAsia="宋体" w:cs="宋体"/>
      <w:color w:val="000000"/>
      <w:sz w:val="20"/>
      <w:szCs w:val="20"/>
      <w:u w:val="none"/>
      <w:vertAlign w:val="superscript"/>
    </w:rPr>
  </w:style>
  <w:style w:type="character" w:customStyle="1" w:styleId="20">
    <w:name w:val="font181"/>
    <w:basedOn w:val="7"/>
    <w:qFormat/>
    <w:uiPriority w:val="99"/>
    <w:rPr>
      <w:rFonts w:ascii="宋体" w:hAnsi="宋体" w:eastAsia="宋体" w:cs="宋体"/>
      <w:b/>
      <w:color w:val="FF0000"/>
      <w:sz w:val="20"/>
      <w:szCs w:val="20"/>
      <w:u w:val="none"/>
    </w:rPr>
  </w:style>
  <w:style w:type="character" w:customStyle="1" w:styleId="21">
    <w:name w:val="font281"/>
    <w:basedOn w:val="7"/>
    <w:qFormat/>
    <w:uiPriority w:val="99"/>
    <w:rPr>
      <w:rFonts w:ascii="宋体" w:hAnsi="宋体" w:eastAsia="宋体" w:cs="宋体"/>
      <w:b/>
      <w:color w:val="000000"/>
      <w:sz w:val="20"/>
      <w:szCs w:val="20"/>
      <w:u w:val="none"/>
    </w:rPr>
  </w:style>
  <w:style w:type="character" w:customStyle="1" w:styleId="22">
    <w:name w:val="font221"/>
    <w:basedOn w:val="7"/>
    <w:qFormat/>
    <w:uiPriority w:val="99"/>
    <w:rPr>
      <w:rFonts w:ascii="宋体" w:hAnsi="宋体" w:eastAsia="宋体" w:cs="宋体"/>
      <w:color w:val="000000"/>
      <w:sz w:val="20"/>
      <w:szCs w:val="20"/>
      <w:u w:val="none"/>
    </w:rPr>
  </w:style>
  <w:style w:type="character" w:customStyle="1" w:styleId="23">
    <w:name w:val="font61"/>
    <w:basedOn w:val="7"/>
    <w:qFormat/>
    <w:uiPriority w:val="99"/>
    <w:rPr>
      <w:rFonts w:ascii="宋体" w:hAnsi="宋体" w:eastAsia="宋体" w:cs="宋体"/>
      <w:color w:val="000000"/>
      <w:sz w:val="20"/>
      <w:szCs w:val="20"/>
      <w:u w:val="none"/>
    </w:rPr>
  </w:style>
  <w:style w:type="character" w:customStyle="1" w:styleId="24">
    <w:name w:val="font241"/>
    <w:basedOn w:val="7"/>
    <w:qFormat/>
    <w:uiPriority w:val="99"/>
    <w:rPr>
      <w:rFonts w:ascii="宋体" w:hAnsi="宋体" w:eastAsia="宋体" w:cs="宋体"/>
      <w:color w:val="000000"/>
      <w:sz w:val="20"/>
      <w:szCs w:val="20"/>
      <w:u w:val="none"/>
      <w:vertAlign w:val="subscript"/>
    </w:rPr>
  </w:style>
  <w:style w:type="character" w:customStyle="1" w:styleId="25">
    <w:name w:val="font212"/>
    <w:basedOn w:val="7"/>
    <w:qFormat/>
    <w:uiPriority w:val="99"/>
    <w:rPr>
      <w:rFonts w:ascii="宋体" w:hAnsi="宋体" w:eastAsia="宋体" w:cs="宋体"/>
      <w:color w:val="FF0000"/>
      <w:sz w:val="20"/>
      <w:szCs w:val="20"/>
      <w:u w:val="none"/>
    </w:rPr>
  </w:style>
  <w:style w:type="character" w:customStyle="1" w:styleId="26">
    <w:name w:val="font201"/>
    <w:basedOn w:val="7"/>
    <w:qFormat/>
    <w:uiPriority w:val="99"/>
    <w:rPr>
      <w:rFonts w:ascii="宋体" w:hAnsi="宋体" w:eastAsia="宋体" w:cs="宋体"/>
      <w:color w:val="000000"/>
      <w:sz w:val="18"/>
      <w:szCs w:val="18"/>
      <w:u w:val="none"/>
    </w:rPr>
  </w:style>
  <w:style w:type="character" w:customStyle="1" w:styleId="27">
    <w:name w:val="font261"/>
    <w:basedOn w:val="7"/>
    <w:qFormat/>
    <w:uiPriority w:val="99"/>
    <w:rPr>
      <w:rFonts w:ascii="宋体" w:hAnsi="宋体" w:eastAsia="宋体" w:cs="宋体"/>
      <w:color w:val="000000"/>
      <w:sz w:val="18"/>
      <w:szCs w:val="18"/>
      <w:u w:val="none"/>
      <w:vertAlign w:val="superscript"/>
    </w:rPr>
  </w:style>
  <w:style w:type="character" w:customStyle="1" w:styleId="28">
    <w:name w:val="font171"/>
    <w:basedOn w:val="7"/>
    <w:qFormat/>
    <w:uiPriority w:val="99"/>
    <w:rPr>
      <w:rFonts w:ascii="宋体" w:hAnsi="宋体" w:eastAsia="宋体" w:cs="宋体"/>
      <w:color w:val="000000"/>
      <w:sz w:val="18"/>
      <w:szCs w:val="18"/>
      <w:u w:val="none"/>
    </w:rPr>
  </w:style>
  <w:style w:type="character" w:customStyle="1" w:styleId="29">
    <w:name w:val="font81"/>
    <w:basedOn w:val="7"/>
    <w:qFormat/>
    <w:uiPriority w:val="99"/>
    <w:rPr>
      <w:rFonts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Pages>
  <Words>166</Words>
  <Characters>949</Characters>
  <Lines>7</Lines>
  <Paragraphs>2</Paragraphs>
  <TotalTime>2</TotalTime>
  <ScaleCrop>false</ScaleCrop>
  <LinksUpToDate>false</LinksUpToDate>
  <CharactersWithSpaces>1113</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2020-05-25T01:31:00Z</dcterms:created>
  <dc:creator>SDWM</dc:creator>
  <cp:lastModifiedBy>WPS_1505360537</cp:lastModifiedBy>
  <cp:lastPrinted>2019-06-30T01:10:00Z</cp:lastPrinted>
  <dcterms:modified xsi:type="dcterms:W3CDTF">2021-05-25T01:57:30Z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CE5AC7C1B73A4394A353E33320E38559</vt:lpwstr>
  </property>
</Properties>
</file>